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F917" w14:textId="77777777" w:rsidR="008F7FAD" w:rsidRPr="00B73F28" w:rsidRDefault="008F7FAD" w:rsidP="008F7FAD">
      <w:pPr>
        <w:spacing w:after="60"/>
        <w:ind w:left="720"/>
        <w:jc w:val="right"/>
        <w:rPr>
          <w:i/>
        </w:rPr>
      </w:pPr>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408"/>
        <w:gridCol w:w="4045"/>
        <w:gridCol w:w="1828"/>
        <w:gridCol w:w="1540"/>
      </w:tblGrid>
      <w:tr w:rsidR="00A1250E" w:rsidRPr="00F70053" w14:paraId="4B257B52" w14:textId="79A336C1" w:rsidTr="00A1250E">
        <w:tc>
          <w:tcPr>
            <w:tcW w:w="1807" w:type="dxa"/>
            <w:shd w:val="clear" w:color="auto" w:fill="auto"/>
            <w:vAlign w:val="center"/>
          </w:tcPr>
          <w:p w14:paraId="1E24CEAF" w14:textId="77777777" w:rsidR="00A1250E" w:rsidRPr="00F70053" w:rsidRDefault="00A1250E"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4453" w:type="dxa"/>
            <w:gridSpan w:val="2"/>
            <w:shd w:val="clear" w:color="auto" w:fill="auto"/>
            <w:vAlign w:val="center"/>
          </w:tcPr>
          <w:p w14:paraId="0519D5A3" w14:textId="0739FB2F" w:rsidR="00A1250E" w:rsidRPr="00F70053" w:rsidRDefault="00BB4CF5" w:rsidP="00945AFC">
            <w:pPr>
              <w:spacing w:before="60" w:after="60"/>
              <w:jc w:val="both"/>
              <w:rPr>
                <w:b/>
                <w:sz w:val="28"/>
                <w:szCs w:val="28"/>
              </w:rPr>
            </w:pPr>
            <w:r>
              <w:rPr>
                <w:b/>
                <w:color w:val="FF0000"/>
                <w:sz w:val="28"/>
                <w:szCs w:val="28"/>
              </w:rPr>
              <w:t>Uberto Pagotto</w:t>
            </w:r>
          </w:p>
        </w:tc>
        <w:tc>
          <w:tcPr>
            <w:tcW w:w="1828" w:type="dxa"/>
          </w:tcPr>
          <w:p w14:paraId="0C276BAC" w14:textId="77777777" w:rsidR="00A1250E" w:rsidRPr="005B08A9" w:rsidRDefault="00A1250E" w:rsidP="00945AFC">
            <w:pPr>
              <w:spacing w:before="60" w:after="60"/>
              <w:jc w:val="both"/>
              <w:rPr>
                <w:b/>
                <w:color w:val="FF0000"/>
                <w:sz w:val="28"/>
                <w:szCs w:val="28"/>
              </w:rPr>
            </w:pPr>
          </w:p>
        </w:tc>
        <w:tc>
          <w:tcPr>
            <w:tcW w:w="1540" w:type="dxa"/>
          </w:tcPr>
          <w:p w14:paraId="05788B85" w14:textId="77777777" w:rsidR="00A1250E" w:rsidRPr="005B08A9" w:rsidRDefault="00A1250E" w:rsidP="00945AFC">
            <w:pPr>
              <w:spacing w:before="60" w:after="60"/>
              <w:jc w:val="both"/>
              <w:rPr>
                <w:b/>
                <w:color w:val="FF0000"/>
                <w:sz w:val="28"/>
                <w:szCs w:val="28"/>
              </w:rPr>
            </w:pPr>
          </w:p>
        </w:tc>
      </w:tr>
      <w:tr w:rsidR="00A1250E" w:rsidRPr="00F70053" w14:paraId="5C550576" w14:textId="7C8D151A" w:rsidTr="009C20FB">
        <w:tc>
          <w:tcPr>
            <w:tcW w:w="9628" w:type="dxa"/>
            <w:gridSpan w:val="5"/>
            <w:shd w:val="clear" w:color="auto" w:fill="auto"/>
            <w:vAlign w:val="center"/>
          </w:tcPr>
          <w:p w14:paraId="4B6F7198" w14:textId="7B01CC07" w:rsidR="00A1250E" w:rsidRPr="00D52083" w:rsidRDefault="00A1250E" w:rsidP="00945AFC">
            <w:pPr>
              <w:spacing w:before="60" w:after="60"/>
              <w:jc w:val="both"/>
              <w:rPr>
                <w:i/>
              </w:rPr>
            </w:pPr>
            <w:r w:rsidRPr="002E1FF5">
              <w:rPr>
                <w:b/>
                <w:sz w:val="28"/>
                <w:szCs w:val="28"/>
              </w:rPr>
              <w:t xml:space="preserve">PRODUZIONE SCIENTIFICA </w:t>
            </w:r>
            <w:r>
              <w:rPr>
                <w:b/>
                <w:sz w:val="28"/>
                <w:szCs w:val="28"/>
              </w:rPr>
              <w:t>TUTOR</w:t>
            </w:r>
            <w:r w:rsidRPr="002E1FF5">
              <w:rPr>
                <w:b/>
                <w:sz w:val="28"/>
                <w:szCs w:val="28"/>
              </w:rPr>
              <w:t xml:space="preserve"> </w:t>
            </w:r>
            <w:r w:rsidRPr="0083559D">
              <w:rPr>
                <w:b/>
                <w:sz w:val="28"/>
                <w:szCs w:val="28"/>
                <w:u w:val="single"/>
              </w:rPr>
              <w:t>NELL’ULTIMO QUADRIENNIO</w:t>
            </w:r>
          </w:p>
        </w:tc>
      </w:tr>
      <w:tr w:rsidR="00A1250E" w:rsidRPr="00F70053" w14:paraId="4D2BF1E9" w14:textId="0D65A478" w:rsidTr="00A1250E">
        <w:tc>
          <w:tcPr>
            <w:tcW w:w="2215" w:type="dxa"/>
            <w:gridSpan w:val="2"/>
            <w:shd w:val="clear" w:color="auto" w:fill="auto"/>
            <w:vAlign w:val="center"/>
          </w:tcPr>
          <w:p w14:paraId="44BF5FED" w14:textId="30518579" w:rsidR="00A1250E" w:rsidRPr="0021533C" w:rsidRDefault="00A1250E" w:rsidP="00945AFC">
            <w:pPr>
              <w:spacing w:before="60" w:after="60"/>
              <w:jc w:val="both"/>
              <w:rPr>
                <w:sz w:val="28"/>
                <w:szCs w:val="28"/>
              </w:rPr>
            </w:pPr>
          </w:p>
        </w:tc>
        <w:tc>
          <w:tcPr>
            <w:tcW w:w="4045" w:type="dxa"/>
            <w:shd w:val="clear" w:color="auto" w:fill="auto"/>
            <w:vAlign w:val="center"/>
          </w:tcPr>
          <w:p w14:paraId="7CCFDBB0" w14:textId="3AE2F227" w:rsidR="00A1250E" w:rsidRPr="0021533C" w:rsidRDefault="003734D3" w:rsidP="00945AFC">
            <w:pPr>
              <w:spacing w:before="60" w:after="60"/>
              <w:jc w:val="both"/>
              <w:rPr>
                <w:sz w:val="28"/>
                <w:szCs w:val="28"/>
              </w:rPr>
            </w:pPr>
            <w:r>
              <w:rPr>
                <w:sz w:val="28"/>
                <w:szCs w:val="28"/>
              </w:rPr>
              <w:t>ARTICOLO (autori, titolo, rivista, anno)</w:t>
            </w:r>
          </w:p>
        </w:tc>
        <w:tc>
          <w:tcPr>
            <w:tcW w:w="1828" w:type="dxa"/>
          </w:tcPr>
          <w:p w14:paraId="5757F3BD" w14:textId="0F3CCED4" w:rsidR="00A1250E" w:rsidRDefault="00A1250E" w:rsidP="00945AFC">
            <w:pPr>
              <w:spacing w:before="60" w:after="60"/>
              <w:jc w:val="both"/>
              <w:rPr>
                <w:sz w:val="28"/>
                <w:szCs w:val="28"/>
              </w:rPr>
            </w:pPr>
            <w:r>
              <w:rPr>
                <w:sz w:val="28"/>
                <w:szCs w:val="28"/>
              </w:rPr>
              <w:t>INDICE UNICO</w:t>
            </w:r>
          </w:p>
        </w:tc>
        <w:tc>
          <w:tcPr>
            <w:tcW w:w="1540" w:type="dxa"/>
          </w:tcPr>
          <w:p w14:paraId="0F6357AE" w14:textId="041ABFE8" w:rsidR="00A1250E" w:rsidRDefault="00A1250E" w:rsidP="00945AFC">
            <w:pPr>
              <w:spacing w:before="60" w:after="60"/>
              <w:jc w:val="both"/>
              <w:rPr>
                <w:sz w:val="28"/>
                <w:szCs w:val="28"/>
              </w:rPr>
            </w:pPr>
            <w:r w:rsidRPr="00D52083">
              <w:rPr>
                <w:i/>
              </w:rPr>
              <w:t>Punti</w:t>
            </w:r>
          </w:p>
        </w:tc>
      </w:tr>
      <w:tr w:rsidR="00A1250E" w:rsidRPr="005C0C8D" w14:paraId="6F909ECE" w14:textId="712757A5" w:rsidTr="003734D3">
        <w:trPr>
          <w:trHeight w:val="4137"/>
        </w:trPr>
        <w:tc>
          <w:tcPr>
            <w:tcW w:w="2215" w:type="dxa"/>
            <w:gridSpan w:val="2"/>
            <w:vMerge w:val="restart"/>
            <w:shd w:val="clear" w:color="auto" w:fill="auto"/>
            <w:vAlign w:val="center"/>
          </w:tcPr>
          <w:p w14:paraId="29EC64F7" w14:textId="189FED73" w:rsidR="00A1250E" w:rsidRPr="0021533C" w:rsidRDefault="00A1250E" w:rsidP="00945AFC">
            <w:pPr>
              <w:spacing w:before="60" w:after="60"/>
              <w:jc w:val="both"/>
              <w:rPr>
                <w:sz w:val="28"/>
                <w:szCs w:val="28"/>
              </w:rPr>
            </w:pPr>
            <w:r>
              <w:rPr>
                <w:b/>
                <w:sz w:val="28"/>
                <w:szCs w:val="28"/>
              </w:rPr>
              <w:t>3</w:t>
            </w:r>
            <w:r>
              <w:rPr>
                <w:sz w:val="28"/>
                <w:szCs w:val="28"/>
              </w:rPr>
              <w:t xml:space="preserve"> lavori in extenso su riviste indicizzate </w:t>
            </w:r>
            <w:r w:rsidR="003734D3">
              <w:rPr>
                <w:sz w:val="28"/>
                <w:szCs w:val="28"/>
              </w:rPr>
              <w:t>con valutazione indice unico da VRA2022</w:t>
            </w:r>
          </w:p>
        </w:tc>
        <w:tc>
          <w:tcPr>
            <w:tcW w:w="4045" w:type="dxa"/>
            <w:shd w:val="clear" w:color="auto" w:fill="auto"/>
            <w:vAlign w:val="center"/>
          </w:tcPr>
          <w:p w14:paraId="6CEA3217" w14:textId="470F0CEC" w:rsidR="00A1250E" w:rsidRPr="005C0C8D" w:rsidRDefault="005C0C8D" w:rsidP="00945AFC">
            <w:pPr>
              <w:spacing w:before="60" w:after="60"/>
              <w:jc w:val="both"/>
              <w:rPr>
                <w:sz w:val="28"/>
                <w:szCs w:val="28"/>
                <w:lang w:val="en-US"/>
              </w:rPr>
            </w:pPr>
            <w:r w:rsidRPr="005C0C8D">
              <w:rPr>
                <w:sz w:val="28"/>
                <w:szCs w:val="28"/>
                <w:lang w:val="en-US"/>
              </w:rPr>
              <w:t>Matysik S, Krautbauer S, Liebisch G, Schött HF, Kjølbaek L, Astrup A, Blachier F, Beaumont M, Nieuwdorp M, Hartstra A, Rampelli S, Pagotto U, Iozzo P. Short-chain fatty acids and bile acids in human faeces are associated with the intestinal cholesterol conversion status. Br J Pharmacol. 2021;</w:t>
            </w:r>
            <w:r>
              <w:rPr>
                <w:sz w:val="28"/>
                <w:szCs w:val="28"/>
                <w:lang w:val="en-US"/>
              </w:rPr>
              <w:t xml:space="preserve"> </w:t>
            </w:r>
            <w:r w:rsidRPr="005C0C8D">
              <w:rPr>
                <w:sz w:val="28"/>
                <w:szCs w:val="28"/>
                <w:lang w:val="en-US"/>
              </w:rPr>
              <w:t>1</w:t>
            </w:r>
            <w:r>
              <w:rPr>
                <w:sz w:val="28"/>
                <w:szCs w:val="28"/>
                <w:lang w:val="en-US"/>
              </w:rPr>
              <w:t>7</w:t>
            </w:r>
            <w:r w:rsidRPr="005C0C8D">
              <w:rPr>
                <w:sz w:val="28"/>
                <w:szCs w:val="28"/>
                <w:lang w:val="en-US"/>
              </w:rPr>
              <w:t xml:space="preserve">:3342-3353. doi: 10.1111/bph.15440. </w:t>
            </w:r>
          </w:p>
        </w:tc>
        <w:tc>
          <w:tcPr>
            <w:tcW w:w="1828" w:type="dxa"/>
          </w:tcPr>
          <w:p w14:paraId="6958F5E6" w14:textId="3864DC59" w:rsidR="00A1250E" w:rsidRPr="005C0C8D" w:rsidRDefault="005C0C8D" w:rsidP="00945AFC">
            <w:pPr>
              <w:spacing w:before="60" w:after="60"/>
              <w:jc w:val="both"/>
              <w:rPr>
                <w:sz w:val="28"/>
                <w:szCs w:val="28"/>
                <w:lang w:val="en-US"/>
              </w:rPr>
            </w:pPr>
            <w:r>
              <w:rPr>
                <w:sz w:val="28"/>
                <w:szCs w:val="28"/>
                <w:lang w:val="en-US"/>
              </w:rPr>
              <w:t>0.96</w:t>
            </w:r>
          </w:p>
        </w:tc>
        <w:tc>
          <w:tcPr>
            <w:tcW w:w="1540" w:type="dxa"/>
          </w:tcPr>
          <w:p w14:paraId="0D5A3FF1" w14:textId="1066131C" w:rsidR="00A1250E" w:rsidRPr="005C0C8D" w:rsidRDefault="005C0C8D" w:rsidP="00945AFC">
            <w:pPr>
              <w:spacing w:before="60" w:after="60"/>
              <w:jc w:val="both"/>
              <w:rPr>
                <w:sz w:val="28"/>
                <w:szCs w:val="28"/>
                <w:lang w:val="en-US"/>
              </w:rPr>
            </w:pPr>
            <w:r>
              <w:rPr>
                <w:sz w:val="28"/>
                <w:szCs w:val="28"/>
                <w:lang w:val="en-US"/>
              </w:rPr>
              <w:t>1</w:t>
            </w:r>
          </w:p>
        </w:tc>
      </w:tr>
      <w:tr w:rsidR="00A1250E" w:rsidRPr="005C0C8D" w14:paraId="0D67B23E" w14:textId="5A53C2B6" w:rsidTr="003734D3">
        <w:trPr>
          <w:trHeight w:val="2693"/>
        </w:trPr>
        <w:tc>
          <w:tcPr>
            <w:tcW w:w="2215" w:type="dxa"/>
            <w:gridSpan w:val="2"/>
            <w:vMerge/>
            <w:shd w:val="clear" w:color="auto" w:fill="auto"/>
            <w:vAlign w:val="center"/>
          </w:tcPr>
          <w:p w14:paraId="1A2927D2" w14:textId="77777777" w:rsidR="00A1250E" w:rsidRPr="005C0C8D" w:rsidDel="00052630" w:rsidRDefault="00A1250E" w:rsidP="00945AFC">
            <w:pPr>
              <w:spacing w:before="60" w:after="60"/>
              <w:jc w:val="both"/>
              <w:rPr>
                <w:sz w:val="28"/>
                <w:szCs w:val="28"/>
                <w:lang w:val="en-US"/>
              </w:rPr>
            </w:pPr>
          </w:p>
        </w:tc>
        <w:tc>
          <w:tcPr>
            <w:tcW w:w="4045" w:type="dxa"/>
            <w:shd w:val="clear" w:color="auto" w:fill="auto"/>
            <w:vAlign w:val="center"/>
          </w:tcPr>
          <w:p w14:paraId="37E954D1" w14:textId="31AD7902" w:rsidR="00A1250E" w:rsidRPr="005C0C8D" w:rsidRDefault="005C0C8D" w:rsidP="00945AFC">
            <w:pPr>
              <w:spacing w:before="60" w:after="60"/>
              <w:jc w:val="both"/>
              <w:rPr>
                <w:sz w:val="28"/>
                <w:szCs w:val="28"/>
                <w:lang w:val="en-US"/>
              </w:rPr>
            </w:pPr>
            <w:r w:rsidRPr="005C0C8D">
              <w:rPr>
                <w:sz w:val="28"/>
                <w:szCs w:val="28"/>
                <w:lang w:val="en-US"/>
              </w:rPr>
              <w:t>Riccetti L, De Pascali F, Gilioli L, Potì F, Giva LB, Marino M, Tagliavini S, Trenti T, Fanelli F, Mezzullo M, Pagotto U, Simoni M, Casarini L. Human LH and hCG stimulate differently the early signalling pathways but result in equal testosterone synthesis in mouse Leydig cells in vitro. Reprod Biol Endocrinol. 2017 Jan 5;15(1):2. doi: 10.1186/s12958-016-0224-3.</w:t>
            </w:r>
          </w:p>
        </w:tc>
        <w:tc>
          <w:tcPr>
            <w:tcW w:w="1828" w:type="dxa"/>
          </w:tcPr>
          <w:p w14:paraId="3064DA5B" w14:textId="6992B927" w:rsidR="00A1250E" w:rsidRPr="005C0C8D" w:rsidRDefault="005C0C8D" w:rsidP="00945AFC">
            <w:pPr>
              <w:spacing w:before="60" w:after="60"/>
              <w:jc w:val="both"/>
              <w:rPr>
                <w:sz w:val="28"/>
                <w:szCs w:val="28"/>
                <w:lang w:val="en-US"/>
              </w:rPr>
            </w:pPr>
            <w:r>
              <w:rPr>
                <w:sz w:val="28"/>
                <w:szCs w:val="28"/>
                <w:lang w:val="en-US"/>
              </w:rPr>
              <w:t>0.95</w:t>
            </w:r>
          </w:p>
        </w:tc>
        <w:tc>
          <w:tcPr>
            <w:tcW w:w="1540" w:type="dxa"/>
          </w:tcPr>
          <w:p w14:paraId="5A61A8DE" w14:textId="3CD6062D" w:rsidR="00A1250E" w:rsidRPr="005C0C8D" w:rsidRDefault="005C0C8D" w:rsidP="00945AFC">
            <w:pPr>
              <w:spacing w:before="60" w:after="60"/>
              <w:jc w:val="both"/>
              <w:rPr>
                <w:sz w:val="28"/>
                <w:szCs w:val="28"/>
                <w:lang w:val="en-US"/>
              </w:rPr>
            </w:pPr>
            <w:r>
              <w:rPr>
                <w:sz w:val="28"/>
                <w:szCs w:val="28"/>
                <w:lang w:val="en-US"/>
              </w:rPr>
              <w:t>1</w:t>
            </w:r>
          </w:p>
        </w:tc>
      </w:tr>
      <w:tr w:rsidR="00A1250E" w:rsidRPr="005C0C8D" w14:paraId="15E7211F" w14:textId="6F9823F0" w:rsidTr="003734D3">
        <w:trPr>
          <w:trHeight w:val="3242"/>
        </w:trPr>
        <w:tc>
          <w:tcPr>
            <w:tcW w:w="2215" w:type="dxa"/>
            <w:gridSpan w:val="2"/>
            <w:vMerge/>
            <w:shd w:val="clear" w:color="auto" w:fill="auto"/>
            <w:vAlign w:val="center"/>
          </w:tcPr>
          <w:p w14:paraId="5E2D9F9B" w14:textId="77777777" w:rsidR="00A1250E" w:rsidRPr="005C0C8D" w:rsidDel="00052630" w:rsidRDefault="00A1250E" w:rsidP="00945AFC">
            <w:pPr>
              <w:spacing w:before="60" w:after="60"/>
              <w:jc w:val="both"/>
              <w:rPr>
                <w:sz w:val="28"/>
                <w:szCs w:val="28"/>
                <w:lang w:val="en-US"/>
              </w:rPr>
            </w:pPr>
          </w:p>
        </w:tc>
        <w:tc>
          <w:tcPr>
            <w:tcW w:w="4045" w:type="dxa"/>
            <w:shd w:val="clear" w:color="auto" w:fill="auto"/>
            <w:vAlign w:val="center"/>
          </w:tcPr>
          <w:p w14:paraId="1750E829" w14:textId="7409560F" w:rsidR="00A1250E" w:rsidRPr="005C0C8D" w:rsidRDefault="005C0C8D" w:rsidP="00945AFC">
            <w:pPr>
              <w:spacing w:before="60" w:after="60"/>
              <w:jc w:val="both"/>
              <w:rPr>
                <w:sz w:val="28"/>
                <w:szCs w:val="28"/>
                <w:lang w:val="en-US"/>
              </w:rPr>
            </w:pPr>
            <w:r w:rsidRPr="005C0C8D">
              <w:rPr>
                <w:sz w:val="28"/>
                <w:szCs w:val="28"/>
                <w:lang w:val="en-US"/>
              </w:rPr>
              <w:t>Ruiz de Azua I, Mancini G, Srivastava RK, Rey AA, Cardinal P, Tedesco L, Zingaretti CM, Sassmann A, Quarta C, Schwitter C, Conrad A, Wettschureck N, Vemuri VK, Makriyannis A, Hartwig J, Mendez-Lago M, Bindila L, Monory K, Giordano A, Cinti S, Marsicano G, Offermanns S, Nisoli E, Pagotto U, Cota D, Lutz B. Adipocyte cannabinoid receptor CB1 regulates energy homeostasis and alternatively activated macrophages. J Clin Invest. 2017 Nov 1;127(11):4148-4162. doi: 10.1172/JCI83626.</w:t>
            </w:r>
          </w:p>
        </w:tc>
        <w:tc>
          <w:tcPr>
            <w:tcW w:w="1828" w:type="dxa"/>
          </w:tcPr>
          <w:p w14:paraId="7A6075DB" w14:textId="514940E9" w:rsidR="00A1250E" w:rsidRPr="005C0C8D" w:rsidRDefault="005C0C8D" w:rsidP="00945AFC">
            <w:pPr>
              <w:spacing w:before="60" w:after="60"/>
              <w:jc w:val="both"/>
              <w:rPr>
                <w:sz w:val="28"/>
                <w:szCs w:val="28"/>
                <w:lang w:val="en-US"/>
              </w:rPr>
            </w:pPr>
            <w:r>
              <w:rPr>
                <w:sz w:val="28"/>
                <w:szCs w:val="28"/>
                <w:lang w:val="en-US"/>
              </w:rPr>
              <w:t>0.98</w:t>
            </w:r>
          </w:p>
        </w:tc>
        <w:tc>
          <w:tcPr>
            <w:tcW w:w="1540" w:type="dxa"/>
          </w:tcPr>
          <w:p w14:paraId="3AA79F7B" w14:textId="024C180B" w:rsidR="00A1250E" w:rsidRPr="005C0C8D" w:rsidRDefault="005C0C8D" w:rsidP="00945AFC">
            <w:pPr>
              <w:spacing w:before="60" w:after="60"/>
              <w:jc w:val="both"/>
              <w:rPr>
                <w:sz w:val="28"/>
                <w:szCs w:val="28"/>
                <w:lang w:val="en-US"/>
              </w:rPr>
            </w:pPr>
            <w:r>
              <w:rPr>
                <w:sz w:val="28"/>
                <w:szCs w:val="28"/>
                <w:lang w:val="en-US"/>
              </w:rPr>
              <w:t>1</w:t>
            </w:r>
          </w:p>
        </w:tc>
      </w:tr>
      <w:tr w:rsidR="00A1250E" w:rsidRPr="00F70053" w14:paraId="31CE2E87" w14:textId="77777777" w:rsidTr="008967C1">
        <w:trPr>
          <w:trHeight w:val="592"/>
        </w:trPr>
        <w:tc>
          <w:tcPr>
            <w:tcW w:w="8088" w:type="dxa"/>
            <w:gridSpan w:val="4"/>
            <w:shd w:val="clear" w:color="auto" w:fill="auto"/>
            <w:vAlign w:val="center"/>
          </w:tcPr>
          <w:p w14:paraId="6140CFD1" w14:textId="171374E6" w:rsidR="00A1250E" w:rsidRPr="00A1250E" w:rsidRDefault="00A1250E" w:rsidP="00945AFC">
            <w:pPr>
              <w:spacing w:before="60" w:after="60"/>
              <w:jc w:val="both"/>
              <w:rPr>
                <w:b/>
                <w:sz w:val="28"/>
                <w:szCs w:val="28"/>
              </w:rPr>
            </w:pPr>
            <w:r w:rsidRPr="00A1250E">
              <w:rPr>
                <w:b/>
                <w:sz w:val="28"/>
                <w:szCs w:val="28"/>
              </w:rPr>
              <w:t xml:space="preserve">Totale </w:t>
            </w:r>
          </w:p>
        </w:tc>
        <w:tc>
          <w:tcPr>
            <w:tcW w:w="1540" w:type="dxa"/>
          </w:tcPr>
          <w:p w14:paraId="0E717625" w14:textId="63509C94" w:rsidR="00A1250E" w:rsidRPr="0021533C" w:rsidRDefault="00A9518D" w:rsidP="00945AFC">
            <w:pPr>
              <w:spacing w:before="60" w:after="60"/>
              <w:jc w:val="both"/>
              <w:rPr>
                <w:sz w:val="28"/>
                <w:szCs w:val="28"/>
              </w:rPr>
            </w:pPr>
            <w:r>
              <w:rPr>
                <w:sz w:val="28"/>
                <w:szCs w:val="28"/>
              </w:rPr>
              <w:t>3</w:t>
            </w:r>
          </w:p>
        </w:tc>
      </w:tr>
      <w:tr w:rsidR="00A1250E" w:rsidRPr="0021533C" w14:paraId="4A69B6D9" w14:textId="4B9DFDBC" w:rsidTr="006E09AB">
        <w:trPr>
          <w:trHeight w:val="420"/>
        </w:trPr>
        <w:tc>
          <w:tcPr>
            <w:tcW w:w="9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BFD27" w14:textId="26748799" w:rsidR="00A1250E" w:rsidRPr="00A1250E" w:rsidRDefault="00A1250E" w:rsidP="00945AFC">
            <w:pPr>
              <w:spacing w:before="60" w:after="60"/>
              <w:jc w:val="both"/>
              <w:rPr>
                <w:b/>
                <w:sz w:val="28"/>
                <w:szCs w:val="28"/>
              </w:rPr>
            </w:pPr>
            <w:r w:rsidRPr="00A1250E">
              <w:rPr>
                <w:b/>
                <w:sz w:val="28"/>
                <w:szCs w:val="28"/>
              </w:rPr>
              <w:t>DISSEMINAZIONE SCIENTIFICA E ATTIVITÀ DI TERZA MISSIONE</w:t>
            </w:r>
            <w:r>
              <w:rPr>
                <w:b/>
                <w:sz w:val="28"/>
                <w:szCs w:val="28"/>
              </w:rPr>
              <w:t xml:space="preserve"> TUTOR</w:t>
            </w:r>
            <w:r w:rsidRPr="0083559D">
              <w:rPr>
                <w:b/>
                <w:sz w:val="28"/>
                <w:szCs w:val="28"/>
                <w:u w:val="single"/>
              </w:rPr>
              <w:t xml:space="preserve"> NELL’ULTIMO QUADRIENNIO</w:t>
            </w:r>
          </w:p>
        </w:tc>
      </w:tr>
      <w:tr w:rsidR="00A1250E" w:rsidRPr="00FE6CF6" w14:paraId="64E90DA1" w14:textId="57CB6B34" w:rsidTr="00A1250E">
        <w:trPr>
          <w:trHeight w:val="594"/>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F0E2" w14:textId="4E7975A1" w:rsidR="00A1250E" w:rsidRPr="0021533C" w:rsidRDefault="003734D3" w:rsidP="00945AFC">
            <w:pPr>
              <w:spacing w:before="60" w:after="60"/>
              <w:jc w:val="both"/>
              <w:rPr>
                <w:sz w:val="28"/>
                <w:szCs w:val="28"/>
              </w:rPr>
            </w:pPr>
            <w:r w:rsidRPr="00A1250E">
              <w:rPr>
                <w:b/>
                <w:sz w:val="28"/>
                <w:szCs w:val="28"/>
              </w:rPr>
              <w:t xml:space="preserve">Tipologia </w:t>
            </w:r>
            <w:r>
              <w:rPr>
                <w:sz w:val="28"/>
                <w:szCs w:val="28"/>
              </w:rPr>
              <w:t>(seminario, congresso nazionale, congresso internazionale, attività di terza missione inserita su catalogo IRIS)</w:t>
            </w:r>
          </w:p>
        </w:tc>
        <w:tc>
          <w:tcPr>
            <w:tcW w:w="5873" w:type="dxa"/>
            <w:gridSpan w:val="2"/>
            <w:tcBorders>
              <w:top w:val="single" w:sz="4" w:space="0" w:color="auto"/>
              <w:left w:val="single" w:sz="4" w:space="0" w:color="auto"/>
              <w:bottom w:val="single" w:sz="4" w:space="0" w:color="auto"/>
              <w:right w:val="single" w:sz="4" w:space="0" w:color="auto"/>
            </w:tcBorders>
          </w:tcPr>
          <w:p w14:paraId="178EF979" w14:textId="3F9187BD" w:rsidR="00A1250E" w:rsidRPr="00A1250E" w:rsidRDefault="00A1250E" w:rsidP="00945AFC">
            <w:pPr>
              <w:spacing w:before="60" w:after="60"/>
              <w:jc w:val="both"/>
              <w:rPr>
                <w:b/>
                <w:sz w:val="28"/>
                <w:szCs w:val="28"/>
              </w:rPr>
            </w:pPr>
            <w:r w:rsidRPr="00A1250E">
              <w:rPr>
                <w:b/>
                <w:sz w:val="28"/>
                <w:szCs w:val="28"/>
              </w:rPr>
              <w:t xml:space="preserve">Titolo </w:t>
            </w:r>
          </w:p>
        </w:tc>
        <w:tc>
          <w:tcPr>
            <w:tcW w:w="1540" w:type="dxa"/>
            <w:tcBorders>
              <w:top w:val="single" w:sz="4" w:space="0" w:color="auto"/>
              <w:left w:val="single" w:sz="4" w:space="0" w:color="auto"/>
              <w:bottom w:val="single" w:sz="4" w:space="0" w:color="auto"/>
              <w:right w:val="single" w:sz="4" w:space="0" w:color="auto"/>
            </w:tcBorders>
          </w:tcPr>
          <w:p w14:paraId="31DC7FE9" w14:textId="64684CF0" w:rsidR="00A1250E" w:rsidRPr="0021533C" w:rsidRDefault="00A1250E" w:rsidP="00945AFC">
            <w:pPr>
              <w:spacing w:before="60" w:after="60"/>
              <w:jc w:val="both"/>
              <w:rPr>
                <w:sz w:val="28"/>
                <w:szCs w:val="28"/>
              </w:rPr>
            </w:pPr>
            <w:r>
              <w:rPr>
                <w:sz w:val="28"/>
                <w:szCs w:val="28"/>
              </w:rPr>
              <w:t>Punti</w:t>
            </w:r>
          </w:p>
        </w:tc>
      </w:tr>
      <w:tr w:rsidR="00A1250E" w:rsidRPr="00FE6CF6" w14:paraId="130F7515" w14:textId="7323D533"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E64D7" w14:textId="77777777" w:rsidR="00A1250E" w:rsidRPr="0021533C" w:rsidRDefault="00A1250E" w:rsidP="00945AFC">
            <w:pPr>
              <w:spacing w:before="60" w:after="60"/>
              <w:jc w:val="both"/>
              <w:rPr>
                <w:sz w:val="28"/>
                <w:szCs w:val="28"/>
              </w:rPr>
            </w:pPr>
          </w:p>
        </w:tc>
        <w:tc>
          <w:tcPr>
            <w:tcW w:w="5873" w:type="dxa"/>
            <w:gridSpan w:val="2"/>
            <w:tcBorders>
              <w:top w:val="single" w:sz="4" w:space="0" w:color="auto"/>
              <w:left w:val="single" w:sz="4" w:space="0" w:color="auto"/>
              <w:bottom w:val="single" w:sz="4" w:space="0" w:color="auto"/>
              <w:right w:val="single" w:sz="4" w:space="0" w:color="auto"/>
            </w:tcBorders>
          </w:tcPr>
          <w:p w14:paraId="5BCEE3F6" w14:textId="77777777" w:rsidR="00A1250E" w:rsidRPr="0021533C" w:rsidRDefault="00A1250E" w:rsidP="00945AFC">
            <w:pPr>
              <w:spacing w:before="60" w:after="60"/>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tcPr>
          <w:p w14:paraId="40B6F146" w14:textId="77777777" w:rsidR="00A1250E" w:rsidRPr="0021533C" w:rsidRDefault="00A1250E" w:rsidP="00945AFC">
            <w:pPr>
              <w:spacing w:before="60" w:after="60"/>
              <w:jc w:val="both"/>
              <w:rPr>
                <w:sz w:val="28"/>
                <w:szCs w:val="28"/>
              </w:rPr>
            </w:pPr>
          </w:p>
        </w:tc>
      </w:tr>
      <w:tr w:rsidR="00A1250E" w:rsidRPr="00FE6CF6" w14:paraId="2412FC2E" w14:textId="4552EC10"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FAFAA" w14:textId="77777777" w:rsidR="00A1250E" w:rsidRPr="0021533C" w:rsidRDefault="00A1250E" w:rsidP="00945AFC">
            <w:pPr>
              <w:spacing w:before="60" w:after="60"/>
              <w:jc w:val="both"/>
              <w:rPr>
                <w:sz w:val="28"/>
                <w:szCs w:val="28"/>
              </w:rPr>
            </w:pPr>
          </w:p>
        </w:tc>
        <w:tc>
          <w:tcPr>
            <w:tcW w:w="5873" w:type="dxa"/>
            <w:gridSpan w:val="2"/>
            <w:tcBorders>
              <w:top w:val="single" w:sz="4" w:space="0" w:color="auto"/>
              <w:left w:val="single" w:sz="4" w:space="0" w:color="auto"/>
              <w:bottom w:val="single" w:sz="4" w:space="0" w:color="auto"/>
              <w:right w:val="single" w:sz="4" w:space="0" w:color="auto"/>
            </w:tcBorders>
          </w:tcPr>
          <w:p w14:paraId="10B991DF" w14:textId="77777777" w:rsidR="00A1250E" w:rsidRPr="0021533C" w:rsidRDefault="00A1250E" w:rsidP="00945AFC">
            <w:pPr>
              <w:spacing w:before="60" w:after="60"/>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tcPr>
          <w:p w14:paraId="1936EF4B" w14:textId="77777777" w:rsidR="00A1250E" w:rsidRPr="0021533C" w:rsidRDefault="00A1250E" w:rsidP="00945AFC">
            <w:pPr>
              <w:spacing w:before="60" w:after="60"/>
              <w:jc w:val="both"/>
              <w:rPr>
                <w:sz w:val="28"/>
                <w:szCs w:val="28"/>
              </w:rPr>
            </w:pPr>
          </w:p>
        </w:tc>
      </w:tr>
      <w:tr w:rsidR="00A1250E" w:rsidRPr="00FE6CF6" w14:paraId="2EEEE8E1" w14:textId="6B86BCAD"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B9063" w14:textId="77777777" w:rsidR="00A1250E" w:rsidRPr="0021533C" w:rsidRDefault="00A1250E" w:rsidP="00945AFC">
            <w:pPr>
              <w:spacing w:before="60" w:after="60"/>
              <w:jc w:val="both"/>
              <w:rPr>
                <w:sz w:val="28"/>
                <w:szCs w:val="28"/>
              </w:rPr>
            </w:pPr>
          </w:p>
        </w:tc>
        <w:tc>
          <w:tcPr>
            <w:tcW w:w="5873" w:type="dxa"/>
            <w:gridSpan w:val="2"/>
            <w:tcBorders>
              <w:top w:val="single" w:sz="4" w:space="0" w:color="auto"/>
              <w:left w:val="single" w:sz="4" w:space="0" w:color="auto"/>
              <w:bottom w:val="single" w:sz="4" w:space="0" w:color="auto"/>
              <w:right w:val="single" w:sz="4" w:space="0" w:color="auto"/>
            </w:tcBorders>
          </w:tcPr>
          <w:p w14:paraId="273927DF" w14:textId="77777777" w:rsidR="00A1250E" w:rsidRPr="0021533C" w:rsidRDefault="00A1250E" w:rsidP="00945AFC">
            <w:pPr>
              <w:spacing w:before="60" w:after="60"/>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tcPr>
          <w:p w14:paraId="2B012E09" w14:textId="77777777" w:rsidR="00A1250E" w:rsidRPr="0021533C" w:rsidRDefault="00A1250E" w:rsidP="00945AFC">
            <w:pPr>
              <w:spacing w:before="60" w:after="60"/>
              <w:jc w:val="both"/>
              <w:rPr>
                <w:sz w:val="28"/>
                <w:szCs w:val="28"/>
              </w:rPr>
            </w:pPr>
          </w:p>
        </w:tc>
      </w:tr>
      <w:tr w:rsidR="00A1250E" w:rsidRPr="00FE6CF6" w14:paraId="45E6EDC6" w14:textId="77777777"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80273" w14:textId="6190B9DF" w:rsidR="00A1250E" w:rsidRPr="00A1250E" w:rsidRDefault="00A1250E" w:rsidP="00945AFC">
            <w:pPr>
              <w:spacing w:before="60" w:after="60"/>
              <w:jc w:val="both"/>
              <w:rPr>
                <w:i/>
                <w:sz w:val="28"/>
                <w:szCs w:val="28"/>
              </w:rPr>
            </w:pPr>
            <w:r w:rsidRPr="00A1250E">
              <w:rPr>
                <w:i/>
                <w:sz w:val="28"/>
                <w:szCs w:val="28"/>
              </w:rPr>
              <w:t>aggiungere linee se necessario</w:t>
            </w:r>
          </w:p>
        </w:tc>
        <w:tc>
          <w:tcPr>
            <w:tcW w:w="5873" w:type="dxa"/>
            <w:gridSpan w:val="2"/>
            <w:tcBorders>
              <w:top w:val="single" w:sz="4" w:space="0" w:color="auto"/>
              <w:left w:val="single" w:sz="4" w:space="0" w:color="auto"/>
              <w:bottom w:val="single" w:sz="4" w:space="0" w:color="auto"/>
              <w:right w:val="single" w:sz="4" w:space="0" w:color="auto"/>
            </w:tcBorders>
          </w:tcPr>
          <w:p w14:paraId="2542D277" w14:textId="77777777" w:rsidR="00A1250E" w:rsidRPr="0021533C" w:rsidRDefault="00A1250E" w:rsidP="00945AFC">
            <w:pPr>
              <w:spacing w:before="60" w:after="60"/>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tcPr>
          <w:p w14:paraId="0F90ED29" w14:textId="77777777" w:rsidR="00A1250E" w:rsidRPr="0021533C" w:rsidRDefault="00A1250E" w:rsidP="00945AFC">
            <w:pPr>
              <w:spacing w:before="60" w:after="60"/>
              <w:jc w:val="both"/>
              <w:rPr>
                <w:sz w:val="28"/>
                <w:szCs w:val="28"/>
              </w:rPr>
            </w:pPr>
          </w:p>
        </w:tc>
      </w:tr>
      <w:tr w:rsidR="00A1250E" w:rsidRPr="00FE6CF6" w14:paraId="03208768" w14:textId="77777777" w:rsidTr="00BD1D4A">
        <w:trPr>
          <w:trHeight w:val="592"/>
        </w:trPr>
        <w:tc>
          <w:tcPr>
            <w:tcW w:w="80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0A950" w14:textId="21AADF74" w:rsidR="00A1250E" w:rsidRPr="00A1250E" w:rsidRDefault="00A1250E" w:rsidP="00945AFC">
            <w:pPr>
              <w:spacing w:before="60" w:after="60"/>
              <w:jc w:val="both"/>
              <w:rPr>
                <w:b/>
                <w:sz w:val="28"/>
                <w:szCs w:val="28"/>
              </w:rPr>
            </w:pPr>
            <w:r w:rsidRPr="00A1250E">
              <w:rPr>
                <w:b/>
                <w:sz w:val="28"/>
                <w:szCs w:val="28"/>
              </w:rPr>
              <w:lastRenderedPageBreak/>
              <w:t>Totale</w:t>
            </w:r>
          </w:p>
        </w:tc>
        <w:tc>
          <w:tcPr>
            <w:tcW w:w="1540" w:type="dxa"/>
            <w:tcBorders>
              <w:top w:val="single" w:sz="4" w:space="0" w:color="auto"/>
              <w:left w:val="single" w:sz="4" w:space="0" w:color="auto"/>
              <w:bottom w:val="single" w:sz="4" w:space="0" w:color="auto"/>
              <w:right w:val="single" w:sz="4" w:space="0" w:color="auto"/>
            </w:tcBorders>
          </w:tcPr>
          <w:p w14:paraId="4C5C11B7" w14:textId="77777777" w:rsidR="00A1250E" w:rsidRPr="0021533C" w:rsidRDefault="00A1250E" w:rsidP="00945AFC">
            <w:pPr>
              <w:spacing w:before="60" w:after="60"/>
              <w:jc w:val="both"/>
              <w:rPr>
                <w:sz w:val="28"/>
                <w:szCs w:val="28"/>
              </w:rPr>
            </w:pPr>
          </w:p>
        </w:tc>
      </w:tr>
    </w:tbl>
    <w:p w14:paraId="12A25FCE" w14:textId="77777777" w:rsidR="008F7FAD"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450"/>
      </w:tblGrid>
      <w:tr w:rsidR="00A231C4" w:rsidRPr="00FE6CF6" w14:paraId="0D31E12F" w14:textId="77777777" w:rsidTr="00D90C0A">
        <w:trPr>
          <w:trHeight w:val="594"/>
        </w:trPr>
        <w:tc>
          <w:tcPr>
            <w:tcW w:w="3227" w:type="dxa"/>
            <w:vMerge w:val="restart"/>
            <w:tcBorders>
              <w:top w:val="single" w:sz="4" w:space="0" w:color="auto"/>
              <w:left w:val="single" w:sz="4" w:space="0" w:color="auto"/>
              <w:right w:val="single" w:sz="4" w:space="0" w:color="auto"/>
            </w:tcBorders>
            <w:shd w:val="clear" w:color="auto" w:fill="auto"/>
            <w:vAlign w:val="center"/>
          </w:tcPr>
          <w:p w14:paraId="7A421083" w14:textId="77777777" w:rsidR="00A231C4" w:rsidRPr="00460601" w:rsidRDefault="00A231C4" w:rsidP="00D90C0A">
            <w:pPr>
              <w:spacing w:before="60" w:after="60"/>
              <w:jc w:val="both"/>
              <w:rPr>
                <w:b/>
                <w:sz w:val="28"/>
                <w:szCs w:val="28"/>
              </w:rPr>
            </w:pPr>
            <w:r w:rsidRPr="00460601">
              <w:rPr>
                <w:b/>
                <w:sz w:val="28"/>
                <w:szCs w:val="28"/>
              </w:rPr>
              <w:t>Commissione proposta</w:t>
            </w:r>
          </w:p>
          <w:p w14:paraId="53807803" w14:textId="77777777" w:rsidR="00A231C4" w:rsidRPr="00460601" w:rsidRDefault="00A231C4" w:rsidP="00D90C0A">
            <w:pPr>
              <w:spacing w:before="60" w:after="60"/>
              <w:jc w:val="both"/>
              <w:rPr>
                <w:sz w:val="28"/>
                <w:szCs w:val="28"/>
              </w:rPr>
            </w:pPr>
            <w:r w:rsidRPr="00460601">
              <w:rPr>
                <w:sz w:val="28"/>
                <w:szCs w:val="28"/>
              </w:rPr>
              <w:t xml:space="preserve">3 commissari + </w:t>
            </w:r>
          </w:p>
          <w:p w14:paraId="0288DFD6" w14:textId="77777777" w:rsidR="00A231C4" w:rsidRPr="00FE6CF6" w:rsidRDefault="00A231C4" w:rsidP="00D90C0A">
            <w:pPr>
              <w:spacing w:before="60" w:after="60"/>
              <w:jc w:val="both"/>
              <w:rPr>
                <w:sz w:val="28"/>
                <w:szCs w:val="28"/>
              </w:rPr>
            </w:pPr>
            <w:r w:rsidRPr="00460601">
              <w:rPr>
                <w:sz w:val="28"/>
                <w:szCs w:val="28"/>
              </w:rPr>
              <w:t>1 supplente</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57FFD8ED" w14:textId="277703FF" w:rsidR="00A231C4" w:rsidRPr="0021533C" w:rsidRDefault="006315C9" w:rsidP="006315C9">
            <w:pPr>
              <w:spacing w:before="60" w:after="60"/>
              <w:jc w:val="both"/>
              <w:rPr>
                <w:sz w:val="28"/>
                <w:szCs w:val="28"/>
              </w:rPr>
            </w:pPr>
            <w:r w:rsidRPr="006315C9">
              <w:rPr>
                <w:sz w:val="28"/>
                <w:szCs w:val="28"/>
              </w:rPr>
              <w:t>Uberto Pagotto</w:t>
            </w:r>
          </w:p>
        </w:tc>
      </w:tr>
      <w:tr w:rsidR="00A231C4" w:rsidRPr="00FE6CF6" w14:paraId="4941E423"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4D986D77"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BAC3A35" w14:textId="22B23EAC" w:rsidR="00A231C4" w:rsidRPr="0021533C" w:rsidRDefault="006315C9" w:rsidP="00D90C0A">
            <w:pPr>
              <w:spacing w:before="60" w:after="60"/>
              <w:jc w:val="both"/>
              <w:rPr>
                <w:sz w:val="28"/>
                <w:szCs w:val="28"/>
              </w:rPr>
            </w:pPr>
            <w:r w:rsidRPr="006315C9">
              <w:rPr>
                <w:sz w:val="28"/>
                <w:szCs w:val="28"/>
              </w:rPr>
              <w:t>Guido Di Dalmazi</w:t>
            </w:r>
          </w:p>
        </w:tc>
      </w:tr>
      <w:tr w:rsidR="00A231C4" w:rsidRPr="00FE6CF6" w14:paraId="38452A05"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7FD9E74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58B9E4F" w14:textId="1BE1060F" w:rsidR="00A231C4" w:rsidRPr="0021533C" w:rsidRDefault="006315C9" w:rsidP="00D90C0A">
            <w:pPr>
              <w:spacing w:before="60" w:after="60"/>
              <w:jc w:val="both"/>
              <w:rPr>
                <w:sz w:val="28"/>
                <w:szCs w:val="28"/>
              </w:rPr>
            </w:pPr>
            <w:r w:rsidRPr="006315C9">
              <w:rPr>
                <w:sz w:val="28"/>
                <w:szCs w:val="28"/>
              </w:rPr>
              <w:t>Flaminia Fanelli</w:t>
            </w:r>
          </w:p>
        </w:tc>
      </w:tr>
      <w:tr w:rsidR="00A231C4" w:rsidRPr="00FE6CF6" w14:paraId="4E61F104"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5069DC2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0830ACCD" w14:textId="00EA4E86" w:rsidR="00A231C4" w:rsidRPr="0021533C" w:rsidRDefault="006315C9" w:rsidP="00D90C0A">
            <w:pPr>
              <w:spacing w:before="60" w:after="60"/>
              <w:jc w:val="both"/>
              <w:rPr>
                <w:sz w:val="28"/>
                <w:szCs w:val="28"/>
              </w:rPr>
            </w:pPr>
            <w:r w:rsidRPr="006315C9">
              <w:rPr>
                <w:sz w:val="28"/>
                <w:szCs w:val="28"/>
              </w:rPr>
              <w:t>Alessandra Gambineri</w:t>
            </w:r>
            <w:r>
              <w:rPr>
                <w:sz w:val="28"/>
                <w:szCs w:val="28"/>
              </w:rPr>
              <w:t xml:space="preserve"> (Supplente)</w:t>
            </w:r>
          </w:p>
        </w:tc>
      </w:tr>
    </w:tbl>
    <w:p w14:paraId="1E67F74E" w14:textId="77777777" w:rsidR="00A231C4" w:rsidRDefault="00A231C4" w:rsidP="008F7FAD">
      <w:pPr>
        <w:jc w:val="both"/>
        <w:rPr>
          <w:b/>
          <w:sz w:val="16"/>
          <w:szCs w:val="16"/>
        </w:rPr>
      </w:pPr>
    </w:p>
    <w:p w14:paraId="15871E71" w14:textId="77777777" w:rsidR="00A231C4" w:rsidRDefault="00A231C4"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630"/>
        <w:gridCol w:w="764"/>
        <w:gridCol w:w="65"/>
        <w:gridCol w:w="845"/>
        <w:gridCol w:w="1488"/>
      </w:tblGrid>
      <w:tr w:rsidR="008F7FAD" w:rsidRPr="00F70053" w14:paraId="66D5C4A6" w14:textId="77777777" w:rsidTr="006315C9">
        <w:tc>
          <w:tcPr>
            <w:tcW w:w="9628"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946994" w14:paraId="5D74ED09" w14:textId="77777777" w:rsidTr="006315C9">
        <w:tc>
          <w:tcPr>
            <w:tcW w:w="9628" w:type="dxa"/>
            <w:gridSpan w:val="6"/>
            <w:shd w:val="clear" w:color="auto" w:fill="auto"/>
          </w:tcPr>
          <w:p w14:paraId="31E5F1AB" w14:textId="77777777" w:rsidR="008F7FAD" w:rsidRPr="00601AA0" w:rsidRDefault="008F7FAD" w:rsidP="00945AFC">
            <w:pPr>
              <w:spacing w:before="60" w:after="60"/>
              <w:jc w:val="both"/>
              <w:rPr>
                <w:sz w:val="28"/>
                <w:szCs w:val="28"/>
                <w:lang w:val="en-US"/>
              </w:rPr>
            </w:pPr>
          </w:p>
        </w:tc>
      </w:tr>
      <w:tr w:rsidR="008F7FAD" w:rsidRPr="00F70053" w14:paraId="2DAAE0D4" w14:textId="77777777" w:rsidTr="006315C9">
        <w:tc>
          <w:tcPr>
            <w:tcW w:w="4836"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30" w:type="dxa"/>
            <w:shd w:val="clear" w:color="auto" w:fill="auto"/>
            <w:vAlign w:val="center"/>
          </w:tcPr>
          <w:p w14:paraId="6684283F" w14:textId="396C73E1" w:rsidR="008F7FAD" w:rsidRPr="00F70053" w:rsidRDefault="006315C9"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SI</w:t>
            </w:r>
          </w:p>
        </w:tc>
        <w:tc>
          <w:tcPr>
            <w:tcW w:w="1674" w:type="dxa"/>
            <w:gridSpan w:val="3"/>
            <w:shd w:val="clear" w:color="auto" w:fill="auto"/>
            <w:vAlign w:val="center"/>
          </w:tcPr>
          <w:p w14:paraId="7708E1DC"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NO</w:t>
            </w:r>
          </w:p>
        </w:tc>
        <w:tc>
          <w:tcPr>
            <w:tcW w:w="1488"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6315C9" w:rsidRPr="00F70053" w14:paraId="20646E4E" w14:textId="77777777" w:rsidTr="006315C9">
        <w:tc>
          <w:tcPr>
            <w:tcW w:w="4836" w:type="dxa"/>
            <w:shd w:val="clear" w:color="auto" w:fill="auto"/>
            <w:vAlign w:val="center"/>
          </w:tcPr>
          <w:p w14:paraId="0F7FF232" w14:textId="77777777" w:rsidR="006315C9" w:rsidRPr="00F70053" w:rsidRDefault="006315C9" w:rsidP="006315C9">
            <w:pPr>
              <w:spacing w:before="60" w:after="60"/>
              <w:rPr>
                <w:sz w:val="28"/>
                <w:szCs w:val="28"/>
              </w:rPr>
            </w:pPr>
            <w:r>
              <w:rPr>
                <w:sz w:val="21"/>
                <w:szCs w:val="21"/>
              </w:rPr>
              <w:t xml:space="preserve">SE IL FINANZIAMENTO È COMPETITIVO L’ENTE FINANZIATORE </w:t>
            </w:r>
          </w:p>
        </w:tc>
        <w:tc>
          <w:tcPr>
            <w:tcW w:w="4792" w:type="dxa"/>
            <w:gridSpan w:val="5"/>
            <w:shd w:val="clear" w:color="auto" w:fill="auto"/>
            <w:vAlign w:val="center"/>
          </w:tcPr>
          <w:p w14:paraId="3A7B1F16" w14:textId="7DA687FF" w:rsidR="006315C9" w:rsidRPr="00F70053" w:rsidRDefault="006315C9" w:rsidP="006315C9">
            <w:pPr>
              <w:spacing w:before="60" w:after="60"/>
              <w:jc w:val="both"/>
              <w:rPr>
                <w:sz w:val="28"/>
                <w:szCs w:val="28"/>
              </w:rPr>
            </w:pPr>
            <w:r>
              <w:rPr>
                <w:sz w:val="28"/>
                <w:szCs w:val="28"/>
              </w:rPr>
              <w:t>Fondazione del Monte, Bologna</w:t>
            </w:r>
          </w:p>
        </w:tc>
      </w:tr>
      <w:tr w:rsidR="006315C9" w:rsidRPr="00F70053" w14:paraId="123C825F" w14:textId="77777777" w:rsidTr="006315C9">
        <w:tc>
          <w:tcPr>
            <w:tcW w:w="4836" w:type="dxa"/>
            <w:shd w:val="clear" w:color="auto" w:fill="auto"/>
            <w:vAlign w:val="center"/>
          </w:tcPr>
          <w:p w14:paraId="47E85B9C" w14:textId="77777777" w:rsidR="006315C9" w:rsidRDefault="006315C9" w:rsidP="006315C9">
            <w:pPr>
              <w:spacing w:before="60" w:after="60"/>
              <w:rPr>
                <w:sz w:val="21"/>
                <w:szCs w:val="21"/>
              </w:rPr>
            </w:pPr>
            <w:r>
              <w:rPr>
                <w:sz w:val="21"/>
                <w:szCs w:val="21"/>
              </w:rPr>
              <w:t>PROGETTO/ATTIVITÀ A SCOPO COMMERCIALE</w:t>
            </w:r>
          </w:p>
          <w:p w14:paraId="380F4F22" w14:textId="77777777" w:rsidR="006315C9" w:rsidRPr="005918FB" w:rsidRDefault="006315C9" w:rsidP="006315C9">
            <w:pPr>
              <w:spacing w:before="60" w:after="60"/>
              <w:rPr>
                <w:i/>
                <w:sz w:val="21"/>
                <w:szCs w:val="21"/>
              </w:rPr>
            </w:pPr>
            <w:r w:rsidRPr="005918FB">
              <w:rPr>
                <w:i/>
                <w:sz w:val="21"/>
                <w:szCs w:val="21"/>
              </w:rPr>
              <w:t>(es. sperimentazione profit)</w:t>
            </w:r>
          </w:p>
        </w:tc>
        <w:tc>
          <w:tcPr>
            <w:tcW w:w="2394" w:type="dxa"/>
            <w:gridSpan w:val="2"/>
            <w:shd w:val="clear" w:color="auto" w:fill="auto"/>
            <w:vAlign w:val="center"/>
          </w:tcPr>
          <w:p w14:paraId="3E5B8E90" w14:textId="77777777" w:rsidR="006315C9" w:rsidRPr="00F70053" w:rsidRDefault="006315C9" w:rsidP="006315C9">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398" w:type="dxa"/>
            <w:gridSpan w:val="3"/>
            <w:shd w:val="clear" w:color="auto" w:fill="auto"/>
            <w:vAlign w:val="center"/>
          </w:tcPr>
          <w:p w14:paraId="59790187" w14:textId="681A1394" w:rsidR="006315C9" w:rsidRPr="00F70053" w:rsidRDefault="006315C9" w:rsidP="006315C9">
            <w:pPr>
              <w:spacing w:before="60" w:after="60"/>
              <w:jc w:val="center"/>
              <w:rPr>
                <w:sz w:val="28"/>
                <w:szCs w:val="28"/>
              </w:rPr>
            </w:pPr>
            <w:r>
              <w:rPr>
                <w:sz w:val="44"/>
                <w:szCs w:val="28"/>
              </w:rPr>
              <w:t xml:space="preserve">x </w:t>
            </w:r>
            <w:r>
              <w:rPr>
                <w:sz w:val="28"/>
                <w:szCs w:val="28"/>
              </w:rPr>
              <w:t>NO</w:t>
            </w:r>
          </w:p>
        </w:tc>
      </w:tr>
      <w:tr w:rsidR="006315C9" w:rsidRPr="00F70053" w14:paraId="352EF1A0" w14:textId="77777777" w:rsidTr="006315C9">
        <w:tc>
          <w:tcPr>
            <w:tcW w:w="4836" w:type="dxa"/>
            <w:shd w:val="clear" w:color="auto" w:fill="auto"/>
            <w:vAlign w:val="center"/>
          </w:tcPr>
          <w:p w14:paraId="36622053" w14:textId="77777777" w:rsidR="006315C9" w:rsidRPr="00F70053" w:rsidRDefault="006315C9" w:rsidP="006315C9">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792" w:type="dxa"/>
            <w:gridSpan w:val="5"/>
            <w:shd w:val="clear" w:color="auto" w:fill="auto"/>
            <w:vAlign w:val="center"/>
          </w:tcPr>
          <w:p w14:paraId="6D7ED143" w14:textId="4657441F" w:rsidR="006315C9" w:rsidRPr="00F70053" w:rsidRDefault="006315C9" w:rsidP="006315C9">
            <w:pPr>
              <w:spacing w:before="60" w:after="60"/>
              <w:jc w:val="both"/>
              <w:rPr>
                <w:sz w:val="28"/>
                <w:szCs w:val="28"/>
              </w:rPr>
            </w:pPr>
            <w:r w:rsidRPr="006315C9">
              <w:rPr>
                <w:sz w:val="28"/>
                <w:szCs w:val="28"/>
              </w:rPr>
              <w:t>Biomedico</w:t>
            </w:r>
          </w:p>
        </w:tc>
      </w:tr>
      <w:tr w:rsidR="006315C9" w:rsidRPr="00F70053" w14:paraId="2482DE08" w14:textId="77777777" w:rsidTr="006315C9">
        <w:tc>
          <w:tcPr>
            <w:tcW w:w="4836" w:type="dxa"/>
            <w:shd w:val="clear" w:color="auto" w:fill="auto"/>
            <w:vAlign w:val="center"/>
          </w:tcPr>
          <w:p w14:paraId="64F84B62" w14:textId="77777777" w:rsidR="006315C9" w:rsidRPr="002140C4" w:rsidRDefault="006315C9" w:rsidP="006315C9">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459" w:type="dxa"/>
            <w:gridSpan w:val="3"/>
            <w:shd w:val="clear" w:color="auto" w:fill="auto"/>
            <w:vAlign w:val="center"/>
          </w:tcPr>
          <w:p w14:paraId="2470DAA6" w14:textId="77777777" w:rsidR="006315C9" w:rsidRPr="00F70053" w:rsidRDefault="006315C9" w:rsidP="006315C9">
            <w:pPr>
              <w:spacing w:before="60" w:after="60"/>
              <w:jc w:val="center"/>
              <w:rPr>
                <w:sz w:val="28"/>
                <w:szCs w:val="28"/>
              </w:rPr>
            </w:pPr>
            <w:r w:rsidRPr="005918FB">
              <w:rPr>
                <w:sz w:val="44"/>
                <w:szCs w:val="28"/>
              </w:rPr>
              <w:t>□</w:t>
            </w:r>
            <w:r>
              <w:rPr>
                <w:sz w:val="28"/>
                <w:szCs w:val="28"/>
              </w:rPr>
              <w:t xml:space="preserve"> Ottenuto</w:t>
            </w:r>
          </w:p>
        </w:tc>
        <w:tc>
          <w:tcPr>
            <w:tcW w:w="2333" w:type="dxa"/>
            <w:gridSpan w:val="2"/>
            <w:shd w:val="clear" w:color="auto" w:fill="auto"/>
            <w:vAlign w:val="center"/>
          </w:tcPr>
          <w:p w14:paraId="1880E94D" w14:textId="77777777" w:rsidR="006315C9" w:rsidRPr="00F70053" w:rsidRDefault="006315C9" w:rsidP="006315C9">
            <w:pPr>
              <w:spacing w:before="60" w:after="60"/>
              <w:jc w:val="center"/>
              <w:rPr>
                <w:sz w:val="28"/>
                <w:szCs w:val="28"/>
              </w:rPr>
            </w:pPr>
            <w:r w:rsidRPr="005918FB">
              <w:rPr>
                <w:sz w:val="44"/>
                <w:szCs w:val="28"/>
              </w:rPr>
              <w:t>□</w:t>
            </w:r>
            <w:r>
              <w:rPr>
                <w:sz w:val="44"/>
                <w:szCs w:val="28"/>
              </w:rPr>
              <w:t xml:space="preserve"> </w:t>
            </w:r>
            <w:r>
              <w:rPr>
                <w:sz w:val="28"/>
                <w:szCs w:val="28"/>
              </w:rPr>
              <w:t>Da ottenere</w:t>
            </w:r>
          </w:p>
        </w:tc>
      </w:tr>
      <w:tr w:rsidR="006315C9" w:rsidRPr="002E1FF5" w14:paraId="13D803E3" w14:textId="77777777" w:rsidTr="006315C9">
        <w:tc>
          <w:tcPr>
            <w:tcW w:w="8140" w:type="dxa"/>
            <w:gridSpan w:val="5"/>
            <w:shd w:val="clear" w:color="auto" w:fill="auto"/>
            <w:vAlign w:val="center"/>
          </w:tcPr>
          <w:p w14:paraId="4B8C8F14" w14:textId="77777777" w:rsidR="006315C9" w:rsidRPr="002E1FF5" w:rsidRDefault="006315C9" w:rsidP="006315C9">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r>
              <w:rPr>
                <w:i/>
                <w:sz w:val="20"/>
                <w:szCs w:val="20"/>
              </w:rPr>
              <w:t>max 8</w:t>
            </w:r>
            <w:r w:rsidRPr="00F70053">
              <w:rPr>
                <w:i/>
                <w:sz w:val="20"/>
                <w:szCs w:val="20"/>
              </w:rPr>
              <w:t>00 parole)</w:t>
            </w:r>
          </w:p>
        </w:tc>
        <w:tc>
          <w:tcPr>
            <w:tcW w:w="1488" w:type="dxa"/>
            <w:shd w:val="pct10" w:color="FFFF00" w:fill="auto"/>
            <w:vAlign w:val="center"/>
          </w:tcPr>
          <w:p w14:paraId="6A59D89E" w14:textId="77777777" w:rsidR="006315C9" w:rsidRPr="002E1FF5" w:rsidRDefault="006315C9" w:rsidP="006315C9">
            <w:pPr>
              <w:spacing w:before="60" w:after="60"/>
              <w:jc w:val="both"/>
              <w:rPr>
                <w:b/>
                <w:sz w:val="28"/>
                <w:szCs w:val="28"/>
              </w:rPr>
            </w:pPr>
            <w:r w:rsidRPr="00D52083">
              <w:rPr>
                <w:i/>
              </w:rPr>
              <w:t>Punti</w:t>
            </w:r>
          </w:p>
        </w:tc>
      </w:tr>
      <w:tr w:rsidR="006315C9" w:rsidRPr="00A4732A" w14:paraId="1C1182E8" w14:textId="77777777" w:rsidTr="006315C9">
        <w:trPr>
          <w:trHeight w:val="4178"/>
        </w:trPr>
        <w:tc>
          <w:tcPr>
            <w:tcW w:w="9628" w:type="dxa"/>
            <w:gridSpan w:val="6"/>
            <w:shd w:val="clear" w:color="auto" w:fill="auto"/>
          </w:tcPr>
          <w:p w14:paraId="109E4EAA" w14:textId="77777777" w:rsidR="006315C9" w:rsidRDefault="006315C9" w:rsidP="006315C9">
            <w:pPr>
              <w:pStyle w:val="NormaleWeb"/>
              <w:spacing w:before="0" w:beforeAutospacing="0" w:after="120" w:afterAutospacing="0"/>
              <w:jc w:val="both"/>
              <w:rPr>
                <w:b/>
                <w:sz w:val="21"/>
                <w:szCs w:val="21"/>
              </w:rPr>
            </w:pPr>
            <w:r w:rsidRPr="003734D3">
              <w:rPr>
                <w:b/>
                <w:sz w:val="21"/>
                <w:szCs w:val="21"/>
              </w:rPr>
              <w:lastRenderedPageBreak/>
              <w:t>(1)obiettivi, (2)materiali e metodi, (3) risultati/impatto attesi, (4) attività formativa e (5) di ricerca dell’assegnista</w:t>
            </w:r>
          </w:p>
          <w:p w14:paraId="413B5E31" w14:textId="5A432088" w:rsidR="006315C9" w:rsidRDefault="006315C9" w:rsidP="008C08BD">
            <w:pPr>
              <w:pStyle w:val="NormaleWeb"/>
              <w:spacing w:before="0" w:beforeAutospacing="0" w:after="120" w:afterAutospacing="0"/>
              <w:jc w:val="both"/>
              <w:rPr>
                <w:bCs/>
                <w:sz w:val="21"/>
                <w:szCs w:val="21"/>
              </w:rPr>
            </w:pPr>
            <w:r>
              <w:rPr>
                <w:bCs/>
                <w:sz w:val="21"/>
                <w:szCs w:val="21"/>
              </w:rPr>
              <w:t xml:space="preserve">Obiettivi. </w:t>
            </w:r>
            <w:r w:rsidRPr="006315C9">
              <w:rPr>
                <w:bCs/>
                <w:sz w:val="21"/>
                <w:szCs w:val="21"/>
              </w:rPr>
              <w:t>La moderna ricerca biomedica si avvale di tecnologie capaci di esplorare in profondità la complessità dei sistemi biologici. La metabolomica, in particolare, è la scienza che studia la presenza delle piccole molecole in campioni biologici in termini di qualità, quantità e interazioni biochimiche e molecolari. Tra le tecnologie all’avanguardia per lo studio del metaboloma, vi è la cromatografia liquida abbinata a spettrometria di massa ad alta risoluzione (LC-HRMS). Obiettivi</w:t>
            </w:r>
            <w:r>
              <w:rPr>
                <w:bCs/>
                <w:sz w:val="21"/>
                <w:szCs w:val="21"/>
              </w:rPr>
              <w:t xml:space="preserve"> del presente progetto sono l’ac</w:t>
            </w:r>
            <w:r w:rsidRPr="006315C9">
              <w:rPr>
                <w:bCs/>
                <w:sz w:val="21"/>
                <w:szCs w:val="21"/>
              </w:rPr>
              <w:t>quisi</w:t>
            </w:r>
            <w:r>
              <w:rPr>
                <w:bCs/>
                <w:sz w:val="21"/>
                <w:szCs w:val="21"/>
              </w:rPr>
              <w:t xml:space="preserve">zione di </w:t>
            </w:r>
            <w:r w:rsidRPr="006315C9">
              <w:rPr>
                <w:bCs/>
                <w:sz w:val="21"/>
                <w:szCs w:val="21"/>
              </w:rPr>
              <w:t>competenze teoriche e pratiche circa i principi tecnologici e analitici della piattaforma Exploris 240</w:t>
            </w:r>
            <w:r>
              <w:rPr>
                <w:bCs/>
                <w:sz w:val="21"/>
                <w:szCs w:val="21"/>
              </w:rPr>
              <w:t>, e lo s</w:t>
            </w:r>
            <w:r w:rsidRPr="006315C9">
              <w:rPr>
                <w:bCs/>
                <w:sz w:val="21"/>
                <w:szCs w:val="21"/>
              </w:rPr>
              <w:t>vilupp</w:t>
            </w:r>
            <w:r>
              <w:rPr>
                <w:bCs/>
                <w:sz w:val="21"/>
                <w:szCs w:val="21"/>
              </w:rPr>
              <w:t xml:space="preserve">o </w:t>
            </w:r>
            <w:r w:rsidRPr="006315C9">
              <w:rPr>
                <w:bCs/>
                <w:sz w:val="21"/>
                <w:szCs w:val="21"/>
              </w:rPr>
              <w:t xml:space="preserve">preliminare </w:t>
            </w:r>
            <w:r>
              <w:rPr>
                <w:bCs/>
                <w:sz w:val="21"/>
                <w:szCs w:val="21"/>
              </w:rPr>
              <w:t>di</w:t>
            </w:r>
            <w:r w:rsidRPr="006315C9">
              <w:rPr>
                <w:bCs/>
                <w:sz w:val="21"/>
                <w:szCs w:val="21"/>
              </w:rPr>
              <w:t xml:space="preserve"> un metodo per l’analisi di campioni ematici mediante LC-HRMS.</w:t>
            </w:r>
          </w:p>
          <w:p w14:paraId="66BAC47E" w14:textId="77777777" w:rsidR="006315C9" w:rsidRDefault="006315C9" w:rsidP="008C08BD">
            <w:pPr>
              <w:pStyle w:val="NormaleWeb"/>
              <w:spacing w:before="0" w:beforeAutospacing="0" w:after="120" w:afterAutospacing="0"/>
              <w:jc w:val="both"/>
              <w:rPr>
                <w:bCs/>
                <w:sz w:val="21"/>
                <w:szCs w:val="21"/>
              </w:rPr>
            </w:pPr>
            <w:r>
              <w:rPr>
                <w:bCs/>
                <w:sz w:val="21"/>
                <w:szCs w:val="21"/>
              </w:rPr>
              <w:t xml:space="preserve">Materiali e metodi. </w:t>
            </w:r>
            <w:r w:rsidRPr="006315C9">
              <w:rPr>
                <w:bCs/>
                <w:sz w:val="21"/>
                <w:szCs w:val="21"/>
              </w:rPr>
              <w:t xml:space="preserve">Il Dipartimento di Scienze Mediche e Chirurgiche ha recentemente acquisito la piattaforma </w:t>
            </w:r>
            <w:r w:rsidRPr="008C08BD">
              <w:rPr>
                <w:bCs/>
                <w:i/>
                <w:iCs/>
                <w:sz w:val="21"/>
                <w:szCs w:val="21"/>
              </w:rPr>
              <w:t>cutting-edge</w:t>
            </w:r>
            <w:r w:rsidRPr="006315C9">
              <w:rPr>
                <w:bCs/>
                <w:sz w:val="21"/>
                <w:szCs w:val="21"/>
              </w:rPr>
              <w:t xml:space="preserve"> Orbitrap Exploris 240 di Thermo Fisher, disponibile presso il CRBA da settembre 2023.</w:t>
            </w:r>
            <w:r>
              <w:t xml:space="preserve"> </w:t>
            </w:r>
            <w:r w:rsidRPr="006315C9">
              <w:rPr>
                <w:bCs/>
                <w:sz w:val="21"/>
                <w:szCs w:val="21"/>
              </w:rPr>
              <w:t xml:space="preserve">Tale tecnologia permette di acquisire grandi quantità di informazioni da </w:t>
            </w:r>
            <w:r>
              <w:rPr>
                <w:bCs/>
                <w:sz w:val="21"/>
                <w:szCs w:val="21"/>
              </w:rPr>
              <w:t>svariati tipi di</w:t>
            </w:r>
            <w:r w:rsidRPr="006315C9">
              <w:rPr>
                <w:bCs/>
                <w:sz w:val="21"/>
                <w:szCs w:val="21"/>
              </w:rPr>
              <w:t xml:space="preserve"> campion</w:t>
            </w:r>
            <w:r>
              <w:rPr>
                <w:bCs/>
                <w:sz w:val="21"/>
                <w:szCs w:val="21"/>
              </w:rPr>
              <w:t>i</w:t>
            </w:r>
            <w:r w:rsidRPr="006315C9">
              <w:rPr>
                <w:bCs/>
                <w:sz w:val="21"/>
                <w:szCs w:val="21"/>
              </w:rPr>
              <w:t xml:space="preserve"> biologic</w:t>
            </w:r>
            <w:r>
              <w:rPr>
                <w:bCs/>
                <w:sz w:val="21"/>
                <w:szCs w:val="21"/>
              </w:rPr>
              <w:t>i</w:t>
            </w:r>
            <w:r w:rsidRPr="006315C9">
              <w:rPr>
                <w:bCs/>
                <w:sz w:val="21"/>
                <w:szCs w:val="21"/>
              </w:rPr>
              <w:t xml:space="preserve"> secondo modalità non preconcette, ovvero </w:t>
            </w:r>
            <w:r w:rsidRPr="006315C9">
              <w:rPr>
                <w:bCs/>
                <w:i/>
                <w:iCs/>
                <w:sz w:val="21"/>
                <w:szCs w:val="21"/>
              </w:rPr>
              <w:t>untargeted</w:t>
            </w:r>
            <w:r w:rsidRPr="006315C9">
              <w:rPr>
                <w:bCs/>
                <w:sz w:val="21"/>
                <w:szCs w:val="21"/>
              </w:rPr>
              <w:t xml:space="preserve">. I segnali spettrometrici maggiormente rilevanti, detti </w:t>
            </w:r>
            <w:r w:rsidRPr="006315C9">
              <w:rPr>
                <w:bCs/>
                <w:i/>
                <w:iCs/>
                <w:sz w:val="21"/>
                <w:szCs w:val="21"/>
              </w:rPr>
              <w:t>features</w:t>
            </w:r>
            <w:r w:rsidRPr="006315C9">
              <w:rPr>
                <w:bCs/>
                <w:sz w:val="21"/>
                <w:szCs w:val="21"/>
              </w:rPr>
              <w:t>, possono essere identificati e quantificati</w:t>
            </w:r>
            <w:r>
              <w:rPr>
                <w:bCs/>
                <w:sz w:val="21"/>
                <w:szCs w:val="21"/>
              </w:rPr>
              <w:t>.</w:t>
            </w:r>
            <w:r w:rsidRPr="006315C9">
              <w:rPr>
                <w:bCs/>
                <w:sz w:val="21"/>
                <w:szCs w:val="21"/>
              </w:rPr>
              <w:t xml:space="preserve"> I dati ottenuti mediante LC-HRMS possono contribuire ad alimentare algoritmi di </w:t>
            </w:r>
            <w:r w:rsidRPr="006315C9">
              <w:rPr>
                <w:bCs/>
                <w:i/>
                <w:iCs/>
                <w:sz w:val="21"/>
                <w:szCs w:val="21"/>
              </w:rPr>
              <w:t>machine learning</w:t>
            </w:r>
            <w:r w:rsidRPr="006315C9">
              <w:rPr>
                <w:bCs/>
                <w:sz w:val="21"/>
                <w:szCs w:val="21"/>
              </w:rPr>
              <w:t xml:space="preserve"> per caratterizzare, diagnosticare o predire patologie di interesse, e per sviluppare approcci terapeutici innovativi.</w:t>
            </w:r>
            <w:r>
              <w:rPr>
                <w:bCs/>
                <w:sz w:val="21"/>
                <w:szCs w:val="21"/>
              </w:rPr>
              <w:t xml:space="preserve"> </w:t>
            </w:r>
          </w:p>
          <w:p w14:paraId="41D1C27B" w14:textId="5F33FF44" w:rsidR="006315C9" w:rsidRDefault="006315C9" w:rsidP="008C08BD">
            <w:pPr>
              <w:pStyle w:val="NormaleWeb"/>
              <w:spacing w:before="0" w:beforeAutospacing="0" w:after="120" w:afterAutospacing="0"/>
              <w:jc w:val="both"/>
              <w:rPr>
                <w:bCs/>
                <w:sz w:val="21"/>
                <w:szCs w:val="21"/>
              </w:rPr>
            </w:pPr>
            <w:r w:rsidRPr="006315C9">
              <w:rPr>
                <w:bCs/>
                <w:sz w:val="21"/>
                <w:szCs w:val="21"/>
              </w:rPr>
              <w:t>Risultati</w:t>
            </w:r>
            <w:r>
              <w:rPr>
                <w:bCs/>
                <w:sz w:val="21"/>
                <w:szCs w:val="21"/>
              </w:rPr>
              <w:t>/impatto</w:t>
            </w:r>
            <w:r w:rsidRPr="006315C9">
              <w:rPr>
                <w:bCs/>
                <w:sz w:val="21"/>
                <w:szCs w:val="21"/>
              </w:rPr>
              <w:t xml:space="preserve"> attesi</w:t>
            </w:r>
            <w:r>
              <w:rPr>
                <w:bCs/>
                <w:sz w:val="21"/>
                <w:szCs w:val="21"/>
              </w:rPr>
              <w:t xml:space="preserve">. </w:t>
            </w:r>
            <w:r w:rsidRPr="006315C9">
              <w:rPr>
                <w:bCs/>
                <w:sz w:val="21"/>
                <w:szCs w:val="21"/>
              </w:rPr>
              <w:t>Al termine del 12 mesi di contratto, ci si attende che l’assegnista abbia acquisito competenze circa i principali aspetti pratico-teorici della tecnologia LC-HRMS e autonomia rispetto all’utilizzo del software e delle principali modalità operative della piattaforma Orbitrap Exploris 240.</w:t>
            </w:r>
            <w:r>
              <w:rPr>
                <w:bCs/>
                <w:sz w:val="21"/>
                <w:szCs w:val="21"/>
              </w:rPr>
              <w:t xml:space="preserve"> </w:t>
            </w:r>
            <w:r w:rsidRPr="006315C9">
              <w:rPr>
                <w:bCs/>
                <w:sz w:val="21"/>
                <w:szCs w:val="21"/>
              </w:rPr>
              <w:t>Ci si aspetta, inoltre, la creazione di procedure operative per la raccolta dei campioni e di protocolli di massima per lo sviluppo di metodi analitici.</w:t>
            </w:r>
            <w:r>
              <w:rPr>
                <w:bCs/>
                <w:sz w:val="21"/>
                <w:szCs w:val="21"/>
              </w:rPr>
              <w:t xml:space="preserve"> </w:t>
            </w:r>
            <w:r w:rsidRPr="006315C9">
              <w:rPr>
                <w:bCs/>
                <w:sz w:val="21"/>
                <w:szCs w:val="21"/>
              </w:rPr>
              <w:t xml:space="preserve">Infine, ci si attendono risultati preliminari ed esplorativi in merito allo sviluppo di metodi </w:t>
            </w:r>
            <w:r w:rsidRPr="008C08BD">
              <w:rPr>
                <w:bCs/>
                <w:i/>
                <w:iCs/>
                <w:sz w:val="21"/>
                <w:szCs w:val="21"/>
              </w:rPr>
              <w:t>untargeted</w:t>
            </w:r>
            <w:r w:rsidRPr="006315C9">
              <w:rPr>
                <w:bCs/>
                <w:sz w:val="21"/>
                <w:szCs w:val="21"/>
              </w:rPr>
              <w:t xml:space="preserve"> e alla loro applicazione in campioni ematici di prova.</w:t>
            </w:r>
            <w:r>
              <w:rPr>
                <w:bCs/>
                <w:sz w:val="21"/>
                <w:szCs w:val="21"/>
              </w:rPr>
              <w:t xml:space="preserve"> Tali risultati rappresenteranno un prezioso </w:t>
            </w:r>
            <w:r w:rsidRPr="008C08BD">
              <w:rPr>
                <w:bCs/>
                <w:i/>
                <w:iCs/>
                <w:sz w:val="21"/>
                <w:szCs w:val="21"/>
              </w:rPr>
              <w:t>back-ground</w:t>
            </w:r>
            <w:r>
              <w:rPr>
                <w:bCs/>
                <w:sz w:val="21"/>
                <w:szCs w:val="21"/>
              </w:rPr>
              <w:t xml:space="preserve"> utile a costruire metodi ottimizzati e validati per l’analisi del metaboloma in varie matrici biologiche in studi futuri.</w:t>
            </w:r>
          </w:p>
          <w:p w14:paraId="4CDF7277" w14:textId="58EC49B4" w:rsidR="006315C9" w:rsidRDefault="006315C9" w:rsidP="006315C9">
            <w:pPr>
              <w:pStyle w:val="NormaleWeb"/>
              <w:spacing w:before="0" w:beforeAutospacing="0" w:after="0" w:afterAutospacing="0"/>
              <w:jc w:val="both"/>
              <w:rPr>
                <w:bCs/>
                <w:sz w:val="21"/>
                <w:szCs w:val="21"/>
              </w:rPr>
            </w:pPr>
            <w:r>
              <w:rPr>
                <w:bCs/>
                <w:sz w:val="21"/>
                <w:szCs w:val="21"/>
              </w:rPr>
              <w:t>Attività formativa</w:t>
            </w:r>
          </w:p>
          <w:p w14:paraId="1E7D07C3" w14:textId="2ED13EF3" w:rsidR="006315C9" w:rsidRDefault="006315C9" w:rsidP="008C08BD">
            <w:pPr>
              <w:pStyle w:val="NormaleWeb"/>
              <w:spacing w:before="0" w:beforeAutospacing="0" w:after="120" w:afterAutospacing="0"/>
              <w:jc w:val="both"/>
              <w:rPr>
                <w:bCs/>
                <w:sz w:val="21"/>
                <w:szCs w:val="21"/>
              </w:rPr>
            </w:pPr>
            <w:r w:rsidRPr="006315C9">
              <w:rPr>
                <w:bCs/>
                <w:sz w:val="21"/>
                <w:szCs w:val="21"/>
              </w:rPr>
              <w:t>L’assegnista acquisirà le principali nozioni teoriche e tecniche riguardanti la piattaforma Exploris 240 attraverso l’affiancamento al personale tecnico e ai ricercatori competenti, e</w:t>
            </w:r>
            <w:r>
              <w:rPr>
                <w:bCs/>
                <w:sz w:val="21"/>
                <w:szCs w:val="21"/>
              </w:rPr>
              <w:t xml:space="preserve"> attraverso</w:t>
            </w:r>
            <w:r w:rsidRPr="006315C9">
              <w:rPr>
                <w:bCs/>
                <w:sz w:val="21"/>
                <w:szCs w:val="21"/>
              </w:rPr>
              <w:t xml:space="preserve"> il </w:t>
            </w:r>
            <w:r w:rsidRPr="008C08BD">
              <w:rPr>
                <w:bCs/>
                <w:i/>
                <w:iCs/>
                <w:sz w:val="21"/>
                <w:szCs w:val="21"/>
              </w:rPr>
              <w:t>training</w:t>
            </w:r>
            <w:r w:rsidRPr="006315C9">
              <w:rPr>
                <w:bCs/>
                <w:sz w:val="21"/>
                <w:szCs w:val="21"/>
              </w:rPr>
              <w:t xml:space="preserve"> offerto dal personale specialista in applicazioni della Thermo Scientifics. In particolare, l’assegnista dovrà acquisire competenze circa le componenti dello strumento, le funzionalità e le modalità di impiego, nonché riguardo ai </w:t>
            </w:r>
            <w:r w:rsidRPr="008C08BD">
              <w:rPr>
                <w:bCs/>
                <w:i/>
                <w:iCs/>
                <w:sz w:val="21"/>
                <w:szCs w:val="21"/>
              </w:rPr>
              <w:t>software</w:t>
            </w:r>
            <w:r w:rsidRPr="006315C9">
              <w:rPr>
                <w:bCs/>
                <w:sz w:val="21"/>
                <w:szCs w:val="21"/>
              </w:rPr>
              <w:t xml:space="preserve"> di acquisizione e di processazione dei dati. Inoltre, l’assegnista provvederà alla sua formazione attraverso lo studio di articoli disponibili in letteratura riguardanti le applicazioni di tale tecnologia allo studio del metaboloma.</w:t>
            </w:r>
            <w:r>
              <w:rPr>
                <w:bCs/>
                <w:sz w:val="21"/>
                <w:szCs w:val="21"/>
              </w:rPr>
              <w:t xml:space="preserve"> </w:t>
            </w:r>
          </w:p>
          <w:p w14:paraId="2955343D" w14:textId="07255B39" w:rsidR="006315C9" w:rsidRDefault="006315C9" w:rsidP="006315C9">
            <w:pPr>
              <w:pStyle w:val="NormaleWeb"/>
              <w:spacing w:before="0" w:beforeAutospacing="0" w:after="0" w:afterAutospacing="0"/>
              <w:jc w:val="both"/>
              <w:rPr>
                <w:bCs/>
                <w:sz w:val="21"/>
                <w:szCs w:val="21"/>
              </w:rPr>
            </w:pPr>
            <w:r>
              <w:rPr>
                <w:bCs/>
                <w:sz w:val="21"/>
                <w:szCs w:val="21"/>
              </w:rPr>
              <w:t>Attività di ricerca</w:t>
            </w:r>
          </w:p>
          <w:p w14:paraId="726A11E5" w14:textId="77777777" w:rsidR="008C08BD" w:rsidRDefault="006315C9" w:rsidP="006315C9">
            <w:pPr>
              <w:pStyle w:val="NormaleWeb"/>
              <w:spacing w:before="0" w:beforeAutospacing="0" w:after="0" w:afterAutospacing="0"/>
              <w:jc w:val="both"/>
              <w:rPr>
                <w:bCs/>
                <w:sz w:val="21"/>
                <w:szCs w:val="21"/>
              </w:rPr>
            </w:pPr>
            <w:r w:rsidRPr="006315C9">
              <w:rPr>
                <w:bCs/>
                <w:sz w:val="21"/>
                <w:szCs w:val="21"/>
              </w:rPr>
              <w:t>L’assegnista condurrà esperimenti volti a mettere in pratica le competenze acquisite con l’obiettivo di sviluppare, ottimizzare e validare un metodo che permetta l’acquisizione di informazioni quali-quantitative sulle piccole molecole presenti in derivati ematici.</w:t>
            </w:r>
            <w:r>
              <w:rPr>
                <w:bCs/>
                <w:sz w:val="21"/>
                <w:szCs w:val="21"/>
              </w:rPr>
              <w:t xml:space="preserve"> </w:t>
            </w:r>
            <w:r w:rsidRPr="006315C9">
              <w:rPr>
                <w:bCs/>
                <w:sz w:val="21"/>
                <w:szCs w:val="21"/>
              </w:rPr>
              <w:t>Infine, l’assegnista collaborerà con personale coinvolto in vari progetti scientifici stilando delle procedure operative per la raccolta e la conservazione dei campioni in biobanche destinate allo studio del metaboloma, e contribuendo alla costituzione delle stesse.</w:t>
            </w:r>
            <w:r>
              <w:rPr>
                <w:bCs/>
                <w:sz w:val="21"/>
                <w:szCs w:val="21"/>
              </w:rPr>
              <w:t xml:space="preserve"> </w:t>
            </w:r>
          </w:p>
          <w:p w14:paraId="5523AF0E" w14:textId="77777777" w:rsidR="008C08BD" w:rsidRDefault="008C08BD" w:rsidP="006315C9">
            <w:pPr>
              <w:pStyle w:val="NormaleWeb"/>
              <w:spacing w:before="0" w:beforeAutospacing="0" w:after="0" w:afterAutospacing="0"/>
              <w:jc w:val="both"/>
              <w:rPr>
                <w:bCs/>
                <w:sz w:val="21"/>
                <w:szCs w:val="21"/>
              </w:rPr>
            </w:pPr>
          </w:p>
          <w:p w14:paraId="6DCAE71F" w14:textId="79B19087" w:rsidR="006315C9" w:rsidRPr="00935A0A" w:rsidRDefault="006315C9" w:rsidP="008C08BD">
            <w:pPr>
              <w:pStyle w:val="NormaleWeb"/>
              <w:spacing w:before="0" w:beforeAutospacing="0" w:after="0" w:afterAutospacing="0"/>
              <w:jc w:val="both"/>
              <w:rPr>
                <w:b/>
                <w:sz w:val="21"/>
                <w:szCs w:val="21"/>
              </w:rPr>
            </w:pPr>
          </w:p>
        </w:tc>
      </w:tr>
      <w:tr w:rsidR="006315C9" w:rsidRPr="002E1FF5" w14:paraId="048F57B8" w14:textId="77777777" w:rsidTr="006315C9">
        <w:tc>
          <w:tcPr>
            <w:tcW w:w="8140" w:type="dxa"/>
            <w:gridSpan w:val="5"/>
            <w:shd w:val="clear" w:color="auto" w:fill="auto"/>
            <w:vAlign w:val="center"/>
          </w:tcPr>
          <w:p w14:paraId="66D7AE75" w14:textId="77777777" w:rsidR="006315C9" w:rsidRDefault="006315C9" w:rsidP="006315C9">
            <w:pPr>
              <w:spacing w:before="60" w:after="60"/>
              <w:jc w:val="both"/>
              <w:rPr>
                <w:sz w:val="28"/>
                <w:szCs w:val="28"/>
              </w:rPr>
            </w:pPr>
            <w:r>
              <w:rPr>
                <w:b/>
                <w:sz w:val="28"/>
                <w:szCs w:val="28"/>
              </w:rPr>
              <w:t>DESCRIZIONE</w:t>
            </w:r>
            <w:r w:rsidRPr="007A1E3A">
              <w:rPr>
                <w:b/>
                <w:sz w:val="28"/>
                <w:szCs w:val="28"/>
              </w:rPr>
              <w:t xml:space="preserve"> DELLE ATTIVITÀ DELL’ASSEGNISTA</w:t>
            </w:r>
            <w:r w:rsidRPr="00F70053">
              <w:rPr>
                <w:sz w:val="28"/>
                <w:szCs w:val="28"/>
              </w:rPr>
              <w:t xml:space="preserve"> </w:t>
            </w:r>
          </w:p>
          <w:p w14:paraId="7B4CB6D6" w14:textId="77777777" w:rsidR="006315C9" w:rsidRDefault="006315C9" w:rsidP="006315C9">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max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p w14:paraId="490F2501" w14:textId="77777777" w:rsidR="006315C9" w:rsidRPr="00DB1934" w:rsidRDefault="006315C9" w:rsidP="006315C9">
            <w:pPr>
              <w:spacing w:before="60" w:after="60"/>
              <w:jc w:val="both"/>
              <w:rPr>
                <w:i/>
                <w:sz w:val="20"/>
                <w:szCs w:val="20"/>
              </w:rPr>
            </w:pPr>
            <w:r>
              <w:rPr>
                <w:i/>
                <w:sz w:val="20"/>
                <w:szCs w:val="20"/>
              </w:rPr>
              <w:t xml:space="preserve">(per i </w:t>
            </w:r>
            <w:r w:rsidRPr="00DB1934">
              <w:rPr>
                <w:b/>
                <w:i/>
                <w:sz w:val="20"/>
                <w:szCs w:val="20"/>
                <w:u w:val="single"/>
              </w:rPr>
              <w:t>rinnovi</w:t>
            </w:r>
            <w:r>
              <w:rPr>
                <w:i/>
                <w:sz w:val="20"/>
                <w:szCs w:val="20"/>
              </w:rPr>
              <w:t xml:space="preserve">: max 600 parole – da integrare con la relazione dell’assegnista; formazione raggiunta, attività effettuata, </w:t>
            </w:r>
            <w:r w:rsidRPr="004B08A3">
              <w:rPr>
                <w:i/>
                <w:sz w:val="20"/>
                <w:szCs w:val="20"/>
              </w:rPr>
              <w:t xml:space="preserve">obiettivi </w:t>
            </w:r>
            <w:r>
              <w:rPr>
                <w:i/>
                <w:sz w:val="20"/>
                <w:szCs w:val="20"/>
              </w:rPr>
              <w:t xml:space="preserve">raggiunti/competenze acquisite, </w:t>
            </w:r>
            <w:r w:rsidRPr="004B08A3">
              <w:rPr>
                <w:i/>
                <w:sz w:val="20"/>
                <w:szCs w:val="20"/>
              </w:rPr>
              <w:t>formazione anco</w:t>
            </w:r>
            <w:r>
              <w:rPr>
                <w:i/>
                <w:sz w:val="20"/>
                <w:szCs w:val="20"/>
              </w:rPr>
              <w:t xml:space="preserve">ra da acquisire (se pertinente), </w:t>
            </w:r>
            <w:r w:rsidRPr="004B08A3">
              <w:rPr>
                <w:i/>
                <w:sz w:val="20"/>
                <w:szCs w:val="20"/>
              </w:rPr>
              <w:t>scansione temporale dell’attività durante il rinnovo</w:t>
            </w:r>
            <w:r>
              <w:rPr>
                <w:i/>
                <w:sz w:val="20"/>
                <w:szCs w:val="20"/>
              </w:rPr>
              <w:t>)</w:t>
            </w:r>
          </w:p>
        </w:tc>
        <w:tc>
          <w:tcPr>
            <w:tcW w:w="1488" w:type="dxa"/>
            <w:shd w:val="pct10" w:color="FFFF00" w:fill="auto"/>
            <w:vAlign w:val="center"/>
          </w:tcPr>
          <w:p w14:paraId="650B7B8A" w14:textId="77777777" w:rsidR="006315C9" w:rsidRPr="002E1FF5" w:rsidRDefault="006315C9" w:rsidP="006315C9">
            <w:pPr>
              <w:spacing w:before="60" w:after="60"/>
              <w:jc w:val="both"/>
              <w:rPr>
                <w:b/>
                <w:sz w:val="28"/>
                <w:szCs w:val="28"/>
              </w:rPr>
            </w:pPr>
            <w:r w:rsidRPr="00D52083">
              <w:rPr>
                <w:i/>
              </w:rPr>
              <w:t>Punti</w:t>
            </w:r>
          </w:p>
        </w:tc>
      </w:tr>
      <w:tr w:rsidR="006315C9" w:rsidRPr="00A4732A" w14:paraId="44D64D99" w14:textId="77777777" w:rsidTr="006315C9">
        <w:trPr>
          <w:trHeight w:val="3090"/>
        </w:trPr>
        <w:tc>
          <w:tcPr>
            <w:tcW w:w="9628" w:type="dxa"/>
            <w:gridSpan w:val="6"/>
            <w:shd w:val="clear" w:color="auto" w:fill="auto"/>
          </w:tcPr>
          <w:p w14:paraId="66EF24BF" w14:textId="3037B27D" w:rsidR="008C08BD" w:rsidRDefault="008C08BD" w:rsidP="008C08BD">
            <w:pPr>
              <w:jc w:val="both"/>
              <w:rPr>
                <w:sz w:val="21"/>
                <w:szCs w:val="21"/>
              </w:rPr>
            </w:pPr>
            <w:r>
              <w:rPr>
                <w:sz w:val="21"/>
                <w:szCs w:val="21"/>
              </w:rPr>
              <w:lastRenderedPageBreak/>
              <w:t>La figura richiesta per il presente progetto è quella di un biologo o biotecnologo con pregresse competenze nel campo della cromatografia liquida e della spettrometria di massa. Inoltre, sono richieste competenze nell’ambito della preparazione del campione mediante tecniche in fase solida e liquida.</w:t>
            </w:r>
          </w:p>
          <w:p w14:paraId="0551B2BB" w14:textId="7F61A62C" w:rsidR="008C08BD" w:rsidRPr="008C08BD" w:rsidRDefault="008C08BD" w:rsidP="008C08BD">
            <w:pPr>
              <w:jc w:val="both"/>
              <w:rPr>
                <w:sz w:val="21"/>
                <w:szCs w:val="21"/>
              </w:rPr>
            </w:pPr>
            <w:r w:rsidRPr="008C08BD">
              <w:rPr>
                <w:sz w:val="21"/>
                <w:szCs w:val="21"/>
              </w:rPr>
              <w:t xml:space="preserve">L’assegnista provvederà alla sua formazione attraverso corsi di training tenuti da Thermo Scientifics, partecipazione a seminari o </w:t>
            </w:r>
            <w:r w:rsidRPr="008C08BD">
              <w:rPr>
                <w:i/>
                <w:iCs/>
                <w:sz w:val="21"/>
                <w:szCs w:val="21"/>
              </w:rPr>
              <w:t>workshop</w:t>
            </w:r>
            <w:r w:rsidRPr="008C08BD">
              <w:rPr>
                <w:sz w:val="21"/>
                <w:szCs w:val="21"/>
              </w:rPr>
              <w:t xml:space="preserve"> sulle tematiche relative alla LC-HRMS, e attraverso lo studio della letteratura disponibile.</w:t>
            </w:r>
          </w:p>
          <w:p w14:paraId="2A426A3B" w14:textId="77777777" w:rsidR="008C08BD" w:rsidRPr="008C08BD" w:rsidRDefault="008C08BD" w:rsidP="008C08BD">
            <w:pPr>
              <w:jc w:val="both"/>
              <w:rPr>
                <w:sz w:val="21"/>
                <w:szCs w:val="21"/>
              </w:rPr>
            </w:pPr>
            <w:r w:rsidRPr="008C08BD">
              <w:rPr>
                <w:sz w:val="21"/>
                <w:szCs w:val="21"/>
              </w:rPr>
              <w:t xml:space="preserve">L’assegnista seguirà il personale strutturato nelle fasi di </w:t>
            </w:r>
            <w:r w:rsidRPr="008C08BD">
              <w:rPr>
                <w:i/>
                <w:iCs/>
                <w:sz w:val="21"/>
                <w:szCs w:val="21"/>
              </w:rPr>
              <w:t>training</w:t>
            </w:r>
            <w:r w:rsidRPr="008C08BD">
              <w:rPr>
                <w:sz w:val="21"/>
                <w:szCs w:val="21"/>
              </w:rPr>
              <w:t>, di preparazione delle procedure operative per la raccolta dei campioni e dei protocolli di sviluppo metodi, e nella conduzione di esperimenti di sviluppo e di analisi di campioni biologici.</w:t>
            </w:r>
          </w:p>
          <w:p w14:paraId="338CC391" w14:textId="77777777" w:rsidR="008C08BD" w:rsidRDefault="008C08BD" w:rsidP="008C08BD">
            <w:pPr>
              <w:pStyle w:val="NormaleWeb"/>
              <w:spacing w:before="0" w:beforeAutospacing="0" w:after="0" w:afterAutospacing="0"/>
              <w:jc w:val="both"/>
              <w:rPr>
                <w:bCs/>
                <w:sz w:val="21"/>
                <w:szCs w:val="21"/>
              </w:rPr>
            </w:pPr>
            <w:r w:rsidRPr="006315C9">
              <w:rPr>
                <w:bCs/>
                <w:sz w:val="21"/>
                <w:szCs w:val="21"/>
              </w:rPr>
              <w:t>Mesi 1-8: formazione teorico-pratica; mesi 6-12: primi esperimenti per lo sviluppo di metodiche; mesi 3-12: descrizione procedure operative e raccolta campioni.</w:t>
            </w:r>
          </w:p>
          <w:p w14:paraId="0A24E79E" w14:textId="5EE22D9B" w:rsidR="006315C9" w:rsidRPr="008C08BD" w:rsidRDefault="008C08BD" w:rsidP="008C08BD">
            <w:pPr>
              <w:pStyle w:val="NormaleWeb"/>
              <w:spacing w:before="0" w:beforeAutospacing="0" w:after="0" w:afterAutospacing="0"/>
              <w:jc w:val="both"/>
              <w:rPr>
                <w:bCs/>
                <w:sz w:val="21"/>
                <w:szCs w:val="21"/>
              </w:rPr>
            </w:pPr>
            <w:r w:rsidRPr="008C08BD">
              <w:rPr>
                <w:bCs/>
                <w:sz w:val="21"/>
                <w:szCs w:val="21"/>
              </w:rPr>
              <w:t>Obiettivi del presente progetto sono l’acquisizione di competenze teoriche e pratiche circa i principi tecnologici e analitici della piattaforma Exploris 240, e lo sviluppo preliminare di un metodo per l’analisi di campioni ematici mediante LC-HRMS.</w:t>
            </w:r>
          </w:p>
        </w:tc>
      </w:tr>
    </w:tbl>
    <w:p w14:paraId="6C6BBF12" w14:textId="77777777" w:rsidR="008F7FAD" w:rsidRDefault="008F7FAD" w:rsidP="008F7FAD">
      <w:pPr>
        <w:jc w:val="both"/>
        <w:rPr>
          <w:color w:val="FF0000"/>
        </w:rPr>
      </w:pPr>
      <w:r>
        <w:rPr>
          <w:color w:val="FF0000"/>
        </w:rPr>
        <w:t>SE RINNOVO, SI RICORDA DI ALLEGARE ANCHE LA RELAZIONE DELL’ASSEGNISTA</w:t>
      </w:r>
      <w:r w:rsidR="00052630">
        <w:rPr>
          <w:color w:val="FF0000"/>
        </w:rPr>
        <w:t xml:space="preserve"> CON LA SUA PRODUZIONE SCIENTIFICA</w:t>
      </w:r>
      <w:r>
        <w:rPr>
          <w:color w:val="FF0000"/>
        </w:rPr>
        <w:t>.</w:t>
      </w:r>
    </w:p>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76C48DE9" w14:textId="77777777" w:rsidTr="00341677">
        <w:tc>
          <w:tcPr>
            <w:tcW w:w="9889" w:type="dxa"/>
            <w:tcBorders>
              <w:top w:val="single" w:sz="4" w:space="0" w:color="auto"/>
              <w:left w:val="single" w:sz="4" w:space="0" w:color="auto"/>
              <w:bottom w:val="single" w:sz="4" w:space="0" w:color="auto"/>
              <w:right w:val="single" w:sz="4" w:space="0" w:color="auto"/>
            </w:tcBorders>
          </w:tcPr>
          <w:p w14:paraId="4401090A"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25B1E51E" w14:textId="77777777" w:rsidTr="00341677">
        <w:tc>
          <w:tcPr>
            <w:tcW w:w="9889" w:type="dxa"/>
            <w:tcBorders>
              <w:top w:val="single" w:sz="4" w:space="0" w:color="auto"/>
              <w:left w:val="single" w:sz="4" w:space="0" w:color="auto"/>
              <w:bottom w:val="single" w:sz="4" w:space="0" w:color="auto"/>
              <w:right w:val="single" w:sz="4" w:space="0" w:color="auto"/>
            </w:tcBorders>
          </w:tcPr>
          <w:p w14:paraId="6D851635"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4BABBBB2"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34AF7F19" w14:textId="77777777" w:rsidR="00341677" w:rsidRPr="00E603B8" w:rsidRDefault="00341677" w:rsidP="00D90C0A">
            <w:pPr>
              <w:pStyle w:val="NormaleWeb"/>
              <w:spacing w:before="0" w:beforeAutospacing="0" w:after="120" w:afterAutospacing="0"/>
              <w:jc w:val="both"/>
              <w:rPr>
                <w:color w:val="FF0000"/>
                <w:sz w:val="21"/>
                <w:szCs w:val="21"/>
              </w:rPr>
            </w:pPr>
            <w:r w:rsidRPr="00E603B8">
              <w:rPr>
                <w:color w:val="FF0000"/>
              </w:rPr>
              <w:t>AZIENDA SANITARIA PRESSO CUI SI SVOLGERÀ L’ATTIVITÀ</w:t>
            </w:r>
          </w:p>
        </w:tc>
      </w:tr>
      <w:tr w:rsidR="00341677" w14:paraId="0FA91781" w14:textId="77777777" w:rsidTr="00341677">
        <w:tc>
          <w:tcPr>
            <w:tcW w:w="9889" w:type="dxa"/>
            <w:tcBorders>
              <w:top w:val="single" w:sz="4" w:space="0" w:color="auto"/>
              <w:left w:val="single" w:sz="4" w:space="0" w:color="auto"/>
              <w:bottom w:val="single" w:sz="4" w:space="0" w:color="auto"/>
              <w:right w:val="single" w:sz="4" w:space="0" w:color="auto"/>
            </w:tcBorders>
          </w:tcPr>
          <w:p w14:paraId="164C7ECC" w14:textId="77777777" w:rsidR="00341677" w:rsidRDefault="00341677" w:rsidP="00D90C0A">
            <w:pPr>
              <w:pStyle w:val="NormaleWeb"/>
              <w:spacing w:before="0" w:beforeAutospacing="0" w:after="120" w:afterAutospacing="0"/>
              <w:jc w:val="both"/>
              <w:rPr>
                <w:sz w:val="21"/>
                <w:szCs w:val="21"/>
              </w:rPr>
            </w:pPr>
          </w:p>
        </w:tc>
      </w:tr>
    </w:tbl>
    <w:p w14:paraId="64F75699" w14:textId="77777777" w:rsidR="008F7FAD" w:rsidRDefault="008F7FAD" w:rsidP="008F7FAD">
      <w:pPr>
        <w:jc w:val="both"/>
      </w:pPr>
      <w:r w:rsidRPr="00946994">
        <w:t xml:space="preserve">Si ricorda che, come previsto dagli Accordi sull’impiego nell’attività assistenziale dei Titolari di assegni di ricerca, sottoscritti tra l’Università di Bologna e le Aziende Ospedaliere di riferimento, una volta stipulato il contratto con il vincitore della selezione, </w:t>
      </w:r>
      <w:r w:rsidRPr="00460601">
        <w:t>il tutor deve</w:t>
      </w:r>
      <w:r w:rsidRPr="00946994">
        <w:t xml:space="preserve"> consegnare alla Direzione Medica Ospedaliera la relativa modulistica, nella quale andranno riportate le attività qui segnalate.</w:t>
      </w:r>
    </w:p>
    <w:p w14:paraId="7FC22842" w14:textId="77777777" w:rsidR="00984211" w:rsidRDefault="00984211" w:rsidP="008F7FAD">
      <w:pPr>
        <w:jc w:val="both"/>
      </w:pPr>
    </w:p>
    <w:p w14:paraId="568F75C5" w14:textId="77777777" w:rsidR="00984211" w:rsidRDefault="00984211" w:rsidP="008F7FAD">
      <w:pPr>
        <w:jc w:val="both"/>
      </w:pPr>
    </w:p>
    <w:p w14:paraId="58A5E1E7" w14:textId="77777777" w:rsidR="00984211" w:rsidRPr="00C757B5" w:rsidRDefault="00984211" w:rsidP="008F7FAD">
      <w:pPr>
        <w:jc w:val="both"/>
        <w:rPr>
          <w:rFonts w:ascii="Trajan" w:hAnsi="Trajan"/>
        </w:rPr>
      </w:pPr>
    </w:p>
    <w:sectPr w:rsidR="00984211" w:rsidRPr="00C757B5"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6D8C" w14:textId="77777777" w:rsidR="00BD16A3" w:rsidRDefault="00BD16A3">
      <w:r>
        <w:separator/>
      </w:r>
    </w:p>
  </w:endnote>
  <w:endnote w:type="continuationSeparator" w:id="0">
    <w:p w14:paraId="32C4DF70" w14:textId="77777777" w:rsidR="00BD16A3" w:rsidRDefault="00BD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rajan">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6772"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5771B8" w:rsidRDefault="005771B8"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w:t>
    </w:r>
    <w:r w:rsidR="00AD57B7">
      <w:rPr>
        <w:rFonts w:ascii="Garamond" w:hAnsi="Garamond"/>
        <w:caps/>
        <w:sz w:val="16"/>
        <w:szCs w:val="16"/>
      </w:rPr>
      <w:t>TRATIVA C/O AZIENDA OSPEDALIERO-</w:t>
    </w:r>
    <w:r>
      <w:rPr>
        <w:rFonts w:ascii="Garamond" w:hAnsi="Garamond"/>
        <w:caps/>
        <w:sz w:val="16"/>
        <w:szCs w:val="16"/>
      </w:rPr>
      <w:t>UNIVERSITARIA – POLICLINICO S. ORSOLA–MALPIGHI</w:t>
    </w:r>
  </w:p>
  <w:p w14:paraId="54FF4FE2" w14:textId="77777777" w:rsidR="00BE1C84" w:rsidRPr="00CB5C37" w:rsidRDefault="00BE1C84"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w:t>
    </w:r>
    <w:r w:rsidR="005771B8">
      <w:rPr>
        <w:rFonts w:ascii="Garamond" w:hAnsi="Garamond"/>
        <w:caps/>
        <w:sz w:val="16"/>
        <w:szCs w:val="16"/>
      </w:rPr>
      <w:t>MASSARENTI 9, PADIGLIONE 11</w:t>
    </w:r>
    <w:r w:rsidRPr="008A26FE">
      <w:rPr>
        <w:rFonts w:ascii="Garamond" w:hAnsi="Garamond"/>
        <w:caps/>
        <w:sz w:val="16"/>
        <w:szCs w:val="16"/>
      </w:rPr>
      <w:t xml:space="preserve"> </w:t>
    </w:r>
    <w:r w:rsidR="001D5749">
      <w:rPr>
        <w:rFonts w:ascii="Garamond" w:hAnsi="Garamond"/>
        <w:caps/>
        <w:sz w:val="16"/>
        <w:szCs w:val="16"/>
      </w:rPr>
      <w:t xml:space="preserve">- </w:t>
    </w:r>
    <w:r w:rsidR="001D5749" w:rsidRPr="008A26FE">
      <w:rPr>
        <w:rFonts w:ascii="Garamond" w:hAnsi="Garamond"/>
        <w:caps/>
        <w:sz w:val="16"/>
        <w:szCs w:val="16"/>
      </w:rPr>
      <w:t>401</w:t>
    </w:r>
    <w:r w:rsidR="001D5749">
      <w:rPr>
        <w:rFonts w:ascii="Garamond" w:hAnsi="Garamond"/>
        <w:caps/>
        <w:sz w:val="16"/>
        <w:szCs w:val="16"/>
      </w:rPr>
      <w:t xml:space="preserve">38 Bologna - Italia </w:t>
    </w:r>
    <w:r w:rsidR="00C05A72">
      <w:rPr>
        <w:rFonts w:ascii="Garamond" w:hAnsi="Garamond"/>
        <w:caps/>
        <w:sz w:val="16"/>
        <w:szCs w:val="16"/>
      </w:rPr>
      <w:t>–</w:t>
    </w:r>
    <w:r w:rsidRPr="008A26FE">
      <w:rPr>
        <w:rFonts w:ascii="Garamond" w:hAnsi="Garamond"/>
        <w:caps/>
        <w:sz w:val="16"/>
        <w:szCs w:val="16"/>
      </w:rPr>
      <w:t xml:space="preserve"> </w:t>
    </w:r>
    <w:hyperlink r:id="rId1" w:history="1">
      <w:r w:rsidR="00C05A72" w:rsidRPr="0017512C">
        <w:rPr>
          <w:rStyle w:val="Collegamentoipertestuale"/>
          <w:rFonts w:ascii="Garamond" w:hAnsi="Garamond"/>
          <w:sz w:val="20"/>
          <w:szCs w:val="20"/>
        </w:rPr>
        <w:t>dimec.dipartimento@pec.unibo.it</w:t>
      </w:r>
    </w:hyperlink>
    <w:r w:rsidR="00C05A72" w:rsidRPr="00C05A72">
      <w:rPr>
        <w:rFonts w:ascii="Garamond" w:hAnsi="Garamon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3A05" w14:textId="77777777" w:rsidR="00BD16A3" w:rsidRDefault="00BD16A3">
      <w:r>
        <w:separator/>
      </w:r>
    </w:p>
  </w:footnote>
  <w:footnote w:type="continuationSeparator" w:id="0">
    <w:p w14:paraId="4745B5F6" w14:textId="77777777" w:rsidR="00BD16A3" w:rsidRDefault="00BD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A407" w14:textId="682A051D" w:rsidR="00BE1C84" w:rsidRDefault="0056632E"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48564540">
    <w:abstractNumId w:val="9"/>
  </w:num>
  <w:num w:numId="2" w16cid:durableId="1654406711">
    <w:abstractNumId w:val="3"/>
  </w:num>
  <w:num w:numId="3" w16cid:durableId="1990984628">
    <w:abstractNumId w:val="0"/>
  </w:num>
  <w:num w:numId="4" w16cid:durableId="1426069132">
    <w:abstractNumId w:val="6"/>
  </w:num>
  <w:num w:numId="5" w16cid:durableId="2097238842">
    <w:abstractNumId w:val="1"/>
  </w:num>
  <w:num w:numId="6" w16cid:durableId="393359730">
    <w:abstractNumId w:val="5"/>
  </w:num>
  <w:num w:numId="7" w16cid:durableId="813720503">
    <w:abstractNumId w:val="7"/>
  </w:num>
  <w:num w:numId="8" w16cid:durableId="1289160891">
    <w:abstractNumId w:val="2"/>
  </w:num>
  <w:num w:numId="9" w16cid:durableId="1770353142">
    <w:abstractNumId w:val="11"/>
  </w:num>
  <w:num w:numId="10" w16cid:durableId="335575880">
    <w:abstractNumId w:val="10"/>
  </w:num>
  <w:num w:numId="11" w16cid:durableId="301815124">
    <w:abstractNumId w:val="8"/>
  </w:num>
  <w:num w:numId="12" w16cid:durableId="11051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4F9D"/>
    <w:rsid w:val="00056F8C"/>
    <w:rsid w:val="0005744F"/>
    <w:rsid w:val="00060F13"/>
    <w:rsid w:val="0006159F"/>
    <w:rsid w:val="000627C5"/>
    <w:rsid w:val="00062CD8"/>
    <w:rsid w:val="000638A4"/>
    <w:rsid w:val="00063CCE"/>
    <w:rsid w:val="0006451B"/>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E6D"/>
    <w:rsid w:val="002F5C4C"/>
    <w:rsid w:val="002F6720"/>
    <w:rsid w:val="002F68AB"/>
    <w:rsid w:val="002F6DD5"/>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4D3"/>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0601"/>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0C8D"/>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814"/>
    <w:rsid w:val="00624277"/>
    <w:rsid w:val="00624BE7"/>
    <w:rsid w:val="00626B73"/>
    <w:rsid w:val="00626BDF"/>
    <w:rsid w:val="00626DA1"/>
    <w:rsid w:val="0062701B"/>
    <w:rsid w:val="00627682"/>
    <w:rsid w:val="0062772E"/>
    <w:rsid w:val="00630CE5"/>
    <w:rsid w:val="006315C9"/>
    <w:rsid w:val="00631A71"/>
    <w:rsid w:val="00633B3E"/>
    <w:rsid w:val="00634541"/>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C016D"/>
    <w:rsid w:val="007C0E7B"/>
    <w:rsid w:val="007C26B9"/>
    <w:rsid w:val="007C2F59"/>
    <w:rsid w:val="007C30A4"/>
    <w:rsid w:val="007C31DF"/>
    <w:rsid w:val="007C33A9"/>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3AE9"/>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BD"/>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250E"/>
    <w:rsid w:val="00A130A4"/>
    <w:rsid w:val="00A13845"/>
    <w:rsid w:val="00A1425E"/>
    <w:rsid w:val="00A14913"/>
    <w:rsid w:val="00A154F8"/>
    <w:rsid w:val="00A17B89"/>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18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4CF5"/>
    <w:rsid w:val="00BB630A"/>
    <w:rsid w:val="00BB6A3F"/>
    <w:rsid w:val="00BB7572"/>
    <w:rsid w:val="00BC010C"/>
    <w:rsid w:val="00BC029B"/>
    <w:rsid w:val="00BC0494"/>
    <w:rsid w:val="00BC0565"/>
    <w:rsid w:val="00BC0B60"/>
    <w:rsid w:val="00BC0E72"/>
    <w:rsid w:val="00BC14AE"/>
    <w:rsid w:val="00BC19DE"/>
    <w:rsid w:val="00BC2E7F"/>
    <w:rsid w:val="00BC405F"/>
    <w:rsid w:val="00BC53C2"/>
    <w:rsid w:val="00BC5B25"/>
    <w:rsid w:val="00BC5DDD"/>
    <w:rsid w:val="00BC6618"/>
    <w:rsid w:val="00BC6F58"/>
    <w:rsid w:val="00BD16A3"/>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471"/>
    <w:rsid w:val="00DD1EE9"/>
    <w:rsid w:val="00DD21E7"/>
    <w:rsid w:val="00DD241E"/>
    <w:rsid w:val="00DD247E"/>
    <w:rsid w:val="00DD2708"/>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8CB"/>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48A6"/>
    <w:rsid w:val="00E64A23"/>
    <w:rsid w:val="00E64A60"/>
    <w:rsid w:val="00E64B18"/>
    <w:rsid w:val="00E65989"/>
    <w:rsid w:val="00E65DF5"/>
    <w:rsid w:val="00E66A43"/>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2A5A"/>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F6AFB"/>
  <w15:chartTrackingRefBased/>
  <w15:docId w15:val="{174F794B-8F89-40BD-AF86-8CD4EE3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styleId="Menzionenonrisolta">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1142</Words>
  <Characters>7346</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8472</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Flaminia Fanelli</cp:lastModifiedBy>
  <cp:revision>5</cp:revision>
  <cp:lastPrinted>2017-02-03T09:22:00Z</cp:lastPrinted>
  <dcterms:created xsi:type="dcterms:W3CDTF">2023-04-13T11:30:00Z</dcterms:created>
  <dcterms:modified xsi:type="dcterms:W3CDTF">2023-09-22T08:00:00Z</dcterms:modified>
</cp:coreProperties>
</file>